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839C" w14:textId="77777777" w:rsidR="001C0A69" w:rsidRDefault="001C0A69">
      <w:pPr>
        <w:pStyle w:val="Textoindependiente"/>
        <w:jc w:val="center"/>
        <w:rPr>
          <w:rFonts w:ascii="Century Gothic" w:hAnsi="Century Gothic" w:cs="Century Gothic"/>
          <w:color w:val="000000"/>
          <w:sz w:val="22"/>
          <w:szCs w:val="22"/>
          <w:u w:val="none"/>
        </w:rPr>
      </w:pPr>
      <w:bookmarkStart w:id="0" w:name="OLE_LINK1"/>
    </w:p>
    <w:p w14:paraId="25FEE5F8" w14:textId="77777777" w:rsidR="001C0A69" w:rsidRDefault="001C0A69">
      <w:pPr>
        <w:pStyle w:val="Textoindependiente"/>
        <w:jc w:val="center"/>
      </w:pPr>
      <w:r>
        <w:rPr>
          <w:rFonts w:ascii="Century Gothic" w:hAnsi="Century Gothic" w:cs="Century Gothic"/>
          <w:color w:val="000000"/>
          <w:sz w:val="22"/>
          <w:szCs w:val="22"/>
          <w:u w:val="none"/>
        </w:rPr>
        <w:t xml:space="preserve">INFORME ANUAL RELATIVO AL CUMPLIMIENTO DE LOS CÓDIGOS DE CONDUCTA SOBRE INVERSIONES FINANCIERAS </w:t>
      </w:r>
      <w:proofErr w:type="gramStart"/>
      <w:r>
        <w:rPr>
          <w:rFonts w:ascii="Century Gothic" w:hAnsi="Century Gothic" w:cs="Century Gothic"/>
          <w:color w:val="000000"/>
          <w:sz w:val="22"/>
          <w:szCs w:val="22"/>
          <w:u w:val="none"/>
        </w:rPr>
        <w:t>TEMPORALES</w:t>
      </w:r>
      <w:bookmarkEnd w:id="0"/>
      <w:r>
        <w:rPr>
          <w:rFonts w:ascii="Century Gothic" w:hAnsi="Century Gothic" w:cs="Century Gothic"/>
          <w:color w:val="000000"/>
          <w:sz w:val="22"/>
          <w:szCs w:val="22"/>
          <w:u w:val="none"/>
        </w:rPr>
        <w:t xml:space="preserve">  DEL</w:t>
      </w:r>
      <w:proofErr w:type="gramEnd"/>
      <w:r>
        <w:rPr>
          <w:rFonts w:ascii="Century Gothic" w:hAnsi="Century Gothic" w:cs="Century Gothic"/>
          <w:color w:val="000000"/>
          <w:sz w:val="22"/>
          <w:szCs w:val="22"/>
          <w:u w:val="none"/>
        </w:rPr>
        <w:t xml:space="preserve"> EJERCICIO ECONÓMICO </w:t>
      </w:r>
      <w:r>
        <w:rPr>
          <w:rFonts w:ascii="Century Gothic" w:hAnsi="Century Gothic" w:cs="Century Gothic"/>
          <w:color w:val="000000"/>
          <w:sz w:val="22"/>
          <w:szCs w:val="22"/>
          <w:highlight w:val="lightGray"/>
          <w:u w:val="none"/>
        </w:rPr>
        <w:t>__/__/____- __/__/____</w:t>
      </w:r>
      <w:r>
        <w:rPr>
          <w:rFonts w:ascii="Century Gothic" w:hAnsi="Century Gothic" w:cs="Century Gothic"/>
          <w:color w:val="000000"/>
          <w:sz w:val="22"/>
          <w:szCs w:val="22"/>
          <w:u w:val="none"/>
        </w:rPr>
        <w:t xml:space="preserve">  </w:t>
      </w:r>
    </w:p>
    <w:p w14:paraId="3EC91CF5" w14:textId="77777777" w:rsidR="001C0A69" w:rsidRDefault="001C0A69">
      <w:pPr>
        <w:rPr>
          <w:rFonts w:ascii="Century Gothic" w:hAnsi="Century Gothic" w:cs="Century Gothic"/>
          <w:color w:val="000000"/>
          <w:sz w:val="20"/>
          <w:szCs w:val="20"/>
        </w:rPr>
      </w:pPr>
    </w:p>
    <w:p w14:paraId="4468AFE1" w14:textId="77777777" w:rsidR="001C0A69" w:rsidRDefault="001C0A69">
      <w:pPr>
        <w:rPr>
          <w:rFonts w:ascii="Century Gothic" w:hAnsi="Century Gothic" w:cs="Century Gothic"/>
          <w:color w:val="000000"/>
          <w:sz w:val="20"/>
          <w:szCs w:val="20"/>
        </w:rPr>
      </w:pPr>
    </w:p>
    <w:p w14:paraId="7F303283" w14:textId="77777777" w:rsidR="001C0A69" w:rsidRDefault="001C0A69">
      <w:pPr>
        <w:pStyle w:val="Textoindependiente21"/>
        <w:spacing w:after="0" w:line="240" w:lineRule="auto"/>
        <w:jc w:val="both"/>
      </w:pPr>
      <w:r>
        <w:rPr>
          <w:rFonts w:ascii="Century Gothic" w:hAnsi="Century Gothic" w:cs="Century Gothic"/>
          <w:sz w:val="20"/>
          <w:szCs w:val="20"/>
        </w:rPr>
        <w:t xml:space="preserve">Durante el ejercicio arriba indicado, al que corresponden las cuentas anuales que se presentan, la Fundación </w:t>
      </w:r>
      <w:bookmarkStart w:id="1" w:name="Texto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Century Gothic" w:hAnsi="Century Gothic" w:cs="Century Gothic"/>
          <w:sz w:val="20"/>
          <w:szCs w:val="20"/>
          <w:lang w:val="es-ES" w:eastAsia="es-ES"/>
        </w:rPr>
      </w:r>
      <w:r>
        <w:fldChar w:fldCharType="separate"/>
      </w:r>
      <w:r>
        <w:rPr>
          <w:rFonts w:ascii="Century Gothic" w:hAnsi="Century Gothic" w:cs="Century Gothic"/>
          <w:sz w:val="20"/>
          <w:szCs w:val="20"/>
          <w:lang w:val="es-ES" w:eastAsia="es-ES"/>
        </w:rPr>
        <w:t>     </w:t>
      </w:r>
      <w:r>
        <w:rPr>
          <w:rFonts w:ascii="Century Gothic" w:hAnsi="Century Gothic" w:cs="Century Gothic"/>
          <w:sz w:val="20"/>
          <w:szCs w:val="20"/>
          <w:lang w:val="es-ES" w:eastAsia="es-ES"/>
        </w:rPr>
        <w:fldChar w:fldCharType="end"/>
      </w:r>
      <w:bookmarkEnd w:id="1"/>
      <w:r>
        <w:rPr>
          <w:rFonts w:ascii="Century Gothic" w:hAnsi="Century Gothic" w:cs="Century Gothic"/>
          <w:sz w:val="20"/>
          <w:szCs w:val="20"/>
        </w:rPr>
        <w:t xml:space="preserve"> ha realizado todas las inversiones financieras temporales que se encuentran reflejadas en dichas cuentas conforme a los principios y </w:t>
      </w:r>
      <w:r>
        <w:rPr>
          <w:rFonts w:ascii="Century Gothic" w:hAnsi="Century Gothic" w:cs="Century Gothic"/>
          <w:sz w:val="20"/>
          <w:szCs w:val="20"/>
        </w:rPr>
        <w:t>recomendaciones indicados en el Código de conducta aprobado por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 xml:space="preserve">Acuerdo de 20 de febrero de 2019, del Consejo de la Comisión Nacional del Mercado de Valores, en desarrollo de lo dispuesto en la disposición adicional quinta del </w:t>
      </w:r>
      <w:r>
        <w:rPr>
          <w:rFonts w:ascii="Century Gothic" w:hAnsi="Century Gothic" w:cs="Century Gothic"/>
          <w:sz w:val="20"/>
          <w:szCs w:val="20"/>
        </w:rPr>
        <w:t xml:space="preserve">Real Decreto Legislativo 4/2015, de 23 de octubre, </w:t>
      </w:r>
      <w:r>
        <w:rPr>
          <w:rFonts w:ascii="Century Gothic" w:hAnsi="Century Gothic" w:cs="Century Gothic"/>
          <w:sz w:val="20"/>
          <w:szCs w:val="20"/>
        </w:rPr>
        <w:t xml:space="preserve">por el que se aprueba el texto refundido de la Ley del Mercado de Valores, </w:t>
      </w:r>
      <w:r>
        <w:rPr>
          <w:rFonts w:ascii="Century Gothic" w:hAnsi="Century Gothic" w:cs="Century Gothic"/>
          <w:sz w:val="20"/>
          <w:szCs w:val="20"/>
        </w:rPr>
        <w:t xml:space="preserve">sustituido por </w:t>
      </w:r>
      <w:r>
        <w:rPr>
          <w:rFonts w:ascii="Century Gothic" w:hAnsi="Century Gothic" w:cs="Century Gothic"/>
          <w:sz w:val="20"/>
          <w:szCs w:val="20"/>
        </w:rPr>
        <w:t xml:space="preserve"> la </w:t>
      </w:r>
      <w:r>
        <w:rPr>
          <w:rFonts w:ascii="Century Gothic" w:hAnsi="Century Gothic" w:cs="Century Gothic"/>
          <w:sz w:val="20"/>
          <w:szCs w:val="20"/>
        </w:rPr>
        <w:t>Ley 6/</w:t>
      </w:r>
      <w:r>
        <w:rPr>
          <w:rFonts w:ascii="Century Gothic" w:hAnsi="Century Gothic" w:cs="Century Gothic"/>
          <w:sz w:val="20"/>
          <w:szCs w:val="20"/>
        </w:rPr>
        <w:t>2023, de 17 de marzo, de los Mercados de Valores y de los Servicios de Inversión,</w:t>
      </w:r>
      <w:r>
        <w:rPr>
          <w:rFonts w:ascii="Century Gothic" w:hAnsi="Century Gothic" w:cs="Century Gothic"/>
          <w:sz w:val="20"/>
          <w:szCs w:val="20"/>
        </w:rPr>
        <w:t xml:space="preserve"> no habiéndose producido desviaciones* respecto de los criterios contenidos en los códigos citados </w:t>
      </w:r>
    </w:p>
    <w:p w14:paraId="770EBB61" w14:textId="77777777" w:rsidR="001C0A69" w:rsidRDefault="001C0A69">
      <w:pPr>
        <w:pStyle w:val="Textoindependiente21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0B3778BE" w14:textId="77777777" w:rsidR="001C0A69" w:rsidRDefault="001C0A69">
      <w:pPr>
        <w:pStyle w:val="Textoindependiente21"/>
        <w:spacing w:after="0" w:line="240" w:lineRule="auto"/>
        <w:jc w:val="both"/>
      </w:pPr>
      <w:r>
        <w:rPr>
          <w:rFonts w:ascii="Century Gothic" w:hAnsi="Century Gothic" w:cs="Century Gothic"/>
          <w:sz w:val="20"/>
          <w:szCs w:val="20"/>
        </w:rPr>
        <w:t>En especial, se han tenido en cuenta los siguientes principios para seleccionar las distintas inversiones financieras:</w:t>
      </w:r>
    </w:p>
    <w:p w14:paraId="6A1FD847" w14:textId="77777777" w:rsidR="001C0A69" w:rsidRDefault="001C0A69">
      <w:pPr>
        <w:pStyle w:val="Textoindependiente21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62B91207" w14:textId="77777777" w:rsidR="001C0A69" w:rsidRDefault="001C0A69">
      <w:pPr>
        <w:pStyle w:val="Textoindependiente21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</w:pPr>
      <w:r>
        <w:rPr>
          <w:rFonts w:ascii="Century Gothic" w:hAnsi="Century Gothic" w:cs="Century Gothic"/>
          <w:sz w:val="20"/>
          <w:szCs w:val="20"/>
        </w:rPr>
        <w:t>Se han establecido sistemas de selección y gestión proporcionados al volumen y naturaleza de las inversiones financieras temporales realizadas.</w:t>
      </w:r>
    </w:p>
    <w:p w14:paraId="70F58882" w14:textId="77777777" w:rsidR="001C0A69" w:rsidRDefault="001C0A69">
      <w:pPr>
        <w:pStyle w:val="Textoindependiente21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</w:pPr>
      <w:r>
        <w:rPr>
          <w:rFonts w:ascii="Century Gothic" w:hAnsi="Century Gothic" w:cs="Century Gothic"/>
          <w:sz w:val="20"/>
          <w:szCs w:val="20"/>
        </w:rPr>
        <w:t>Las personas que han realizado las inversiones cuentan con los suficientes conocimientos técnicos y ofrecen suficientes garantías de competencia profesional e independencia.</w:t>
      </w:r>
    </w:p>
    <w:p w14:paraId="1682C7A2" w14:textId="77777777" w:rsidR="001C0A69" w:rsidRDefault="001C0A69">
      <w:pPr>
        <w:pStyle w:val="Textoindependiente21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</w:pPr>
      <w:r>
        <w:rPr>
          <w:rFonts w:ascii="Century Gothic" w:hAnsi="Century Gothic" w:cs="Century Gothic"/>
          <w:sz w:val="20"/>
          <w:szCs w:val="20"/>
        </w:rPr>
        <w:t>Se ha valorado la seguridad, liquidez y rentabilidad de las distintas posibilidades de inversión, vigilando el equilibrio entre estos tres principios, atendiendo a las condiciones del mercado en el momento de la contratación.</w:t>
      </w:r>
    </w:p>
    <w:p w14:paraId="3231549D" w14:textId="77777777" w:rsidR="001C0A69" w:rsidRDefault="001C0A69">
      <w:pPr>
        <w:pStyle w:val="Textoindependiente21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</w:pPr>
      <w:r>
        <w:rPr>
          <w:rFonts w:ascii="Century Gothic" w:hAnsi="Century Gothic" w:cs="Century Gothic"/>
          <w:sz w:val="20"/>
          <w:szCs w:val="20"/>
        </w:rPr>
        <w:t>Se han diversificado los riesgos, y al objeto de preservar la liquidez de las inversiones, se han efectuado las inversiones temporales en valores o instrumentos financieros negociados en mercados secundarios oficiales.</w:t>
      </w:r>
    </w:p>
    <w:p w14:paraId="2987DECF" w14:textId="77777777" w:rsidR="001C0A69" w:rsidRDefault="001C0A69">
      <w:pPr>
        <w:pStyle w:val="Textoindependiente21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</w:pPr>
      <w:r>
        <w:rPr>
          <w:rFonts w:ascii="Century Gothic" w:hAnsi="Century Gothic" w:cs="Century Gothic"/>
          <w:sz w:val="20"/>
          <w:szCs w:val="20"/>
        </w:rPr>
        <w:t xml:space="preserve">No se han realizado operaciones que respondan un uso meramente especulativo de los recursos financieros, en especial la venta de valores tomados en préstamo al efecto, las </w:t>
      </w:r>
      <w:proofErr w:type="gramStart"/>
      <w:r>
        <w:rPr>
          <w:rFonts w:ascii="Century Gothic" w:hAnsi="Century Gothic" w:cs="Century Gothic"/>
          <w:sz w:val="20"/>
          <w:szCs w:val="20"/>
        </w:rPr>
        <w:t>operaciones intradía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y las operaciones en mercados de futuros y opciones.</w:t>
      </w:r>
    </w:p>
    <w:p w14:paraId="5C7B6185" w14:textId="77777777" w:rsidR="001C0A69" w:rsidRDefault="001C0A69">
      <w:pPr>
        <w:pStyle w:val="Textoindependiente21"/>
        <w:spacing w:after="0" w:line="240" w:lineRule="auto"/>
        <w:rPr>
          <w:rFonts w:ascii="Century Gothic" w:hAnsi="Century Gothic" w:cs="Century Gothic"/>
          <w:i/>
          <w:iCs/>
          <w:sz w:val="20"/>
          <w:szCs w:val="20"/>
        </w:rPr>
      </w:pPr>
    </w:p>
    <w:p w14:paraId="04591F9C" w14:textId="77777777" w:rsidR="001C0A69" w:rsidRDefault="001C0A69">
      <w:pPr>
        <w:pStyle w:val="Textoindependiente21"/>
        <w:spacing w:after="0" w:line="240" w:lineRule="auto"/>
        <w:rPr>
          <w:rFonts w:ascii="Century Gothic" w:hAnsi="Century Gothic" w:cs="Century Gothic"/>
          <w:i/>
          <w:iCs/>
          <w:sz w:val="20"/>
          <w:szCs w:val="20"/>
        </w:rPr>
      </w:pPr>
    </w:p>
    <w:p w14:paraId="6A1E538C" w14:textId="77777777" w:rsidR="001C0A69" w:rsidRDefault="001C0A69">
      <w:pPr>
        <w:pStyle w:val="Textoindependiente21"/>
        <w:spacing w:after="0" w:line="240" w:lineRule="auto"/>
        <w:jc w:val="right"/>
      </w:pPr>
      <w:r>
        <w:rPr>
          <w:rFonts w:ascii="Century Gothic" w:hAnsi="Century Gothic" w:cs="Century Gothic"/>
          <w:sz w:val="20"/>
          <w:szCs w:val="20"/>
        </w:rPr>
        <w:t xml:space="preserve">En </w:t>
      </w:r>
      <w:bookmarkStart w:id="2" w:name="Texto5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Century Gothic" w:hAnsi="Century Gothic" w:cs="Century Gothic"/>
          <w:sz w:val="20"/>
          <w:szCs w:val="20"/>
          <w:lang w:val="es-ES" w:eastAsia="es-ES"/>
        </w:rPr>
      </w:r>
      <w:r>
        <w:fldChar w:fldCharType="separate"/>
      </w:r>
      <w:r>
        <w:rPr>
          <w:rFonts w:ascii="Century Gothic" w:hAnsi="Century Gothic" w:cs="Century Gothic"/>
          <w:sz w:val="20"/>
          <w:szCs w:val="20"/>
          <w:lang w:val="es-ES" w:eastAsia="es-ES"/>
        </w:rPr>
        <w:t>     </w:t>
      </w:r>
      <w:r>
        <w:rPr>
          <w:rFonts w:ascii="Century Gothic" w:hAnsi="Century Gothic" w:cs="Century Gothic"/>
          <w:sz w:val="20"/>
          <w:szCs w:val="20"/>
          <w:lang w:val="es-ES" w:eastAsia="es-ES"/>
        </w:rPr>
        <w:fldChar w:fldCharType="end"/>
      </w:r>
      <w:bookmarkEnd w:id="2"/>
      <w:r>
        <w:rPr>
          <w:rFonts w:ascii="Century Gothic" w:hAnsi="Century Gothic" w:cs="Century Gothic"/>
          <w:sz w:val="20"/>
          <w:szCs w:val="20"/>
        </w:rPr>
        <w:t xml:space="preserve">, a </w:t>
      </w:r>
      <w:bookmarkStart w:id="3" w:name="Texto6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Century Gothic" w:hAnsi="Century Gothic" w:cs="Century Gothic"/>
          <w:sz w:val="20"/>
          <w:szCs w:val="20"/>
          <w:lang w:val="es-ES" w:eastAsia="es-ES"/>
        </w:rPr>
      </w:r>
      <w:r>
        <w:fldChar w:fldCharType="separate"/>
      </w:r>
      <w:r>
        <w:rPr>
          <w:rFonts w:ascii="Century Gothic" w:hAnsi="Century Gothic" w:cs="Century Gothic"/>
          <w:sz w:val="20"/>
          <w:szCs w:val="20"/>
          <w:lang w:val="es-ES" w:eastAsia="es-ES"/>
        </w:rPr>
        <w:t>     </w:t>
      </w:r>
      <w:r>
        <w:rPr>
          <w:rFonts w:ascii="Century Gothic" w:hAnsi="Century Gothic" w:cs="Century Gothic"/>
          <w:sz w:val="20"/>
          <w:szCs w:val="20"/>
          <w:lang w:val="es-ES" w:eastAsia="es-ES"/>
        </w:rPr>
        <w:fldChar w:fldCharType="end"/>
      </w:r>
      <w:bookmarkEnd w:id="3"/>
      <w:r>
        <w:rPr>
          <w:rFonts w:ascii="Century Gothic" w:hAnsi="Century Gothic" w:cs="Century Gothic"/>
          <w:sz w:val="20"/>
          <w:szCs w:val="20"/>
        </w:rPr>
        <w:t xml:space="preserve"> de </w:t>
      </w:r>
      <w:bookmarkStart w:id="4" w:name="Texto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Century Gothic" w:hAnsi="Century Gothic" w:cs="Century Gothic"/>
          <w:sz w:val="20"/>
          <w:szCs w:val="20"/>
          <w:lang w:val="es-ES" w:eastAsia="es-ES"/>
        </w:rPr>
      </w:r>
      <w:r>
        <w:fldChar w:fldCharType="separate"/>
      </w:r>
      <w:r>
        <w:rPr>
          <w:rFonts w:ascii="Century Gothic" w:hAnsi="Century Gothic" w:cs="Century Gothic"/>
          <w:sz w:val="20"/>
          <w:szCs w:val="20"/>
          <w:lang w:val="es-ES" w:eastAsia="es-ES"/>
        </w:rPr>
        <w:t>     </w:t>
      </w:r>
      <w:r>
        <w:rPr>
          <w:rFonts w:ascii="Century Gothic" w:hAnsi="Century Gothic" w:cs="Century Gothic"/>
          <w:sz w:val="20"/>
          <w:szCs w:val="20"/>
          <w:lang w:val="es-ES" w:eastAsia="es-ES"/>
        </w:rPr>
        <w:fldChar w:fldCharType="end"/>
      </w:r>
      <w:bookmarkEnd w:id="4"/>
      <w:r>
        <w:rPr>
          <w:rFonts w:ascii="Century Gothic" w:hAnsi="Century Gothic" w:cs="Century Gothic"/>
          <w:sz w:val="20"/>
          <w:szCs w:val="20"/>
        </w:rPr>
        <w:t xml:space="preserve"> de </w:t>
      </w:r>
      <w:bookmarkStart w:id="5" w:name="Texto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Century Gothic" w:hAnsi="Century Gothic" w:cs="Century Gothic"/>
          <w:sz w:val="20"/>
          <w:szCs w:val="20"/>
          <w:lang w:val="es-ES" w:eastAsia="es-ES"/>
        </w:rPr>
      </w:r>
      <w:r>
        <w:fldChar w:fldCharType="separate"/>
      </w:r>
      <w:r>
        <w:rPr>
          <w:rFonts w:ascii="Century Gothic" w:hAnsi="Century Gothic" w:cs="Century Gothic"/>
          <w:sz w:val="20"/>
          <w:szCs w:val="20"/>
          <w:lang w:val="es-ES" w:eastAsia="es-ES"/>
        </w:rPr>
        <w:t>     </w:t>
      </w:r>
      <w:r>
        <w:rPr>
          <w:rFonts w:ascii="Century Gothic" w:hAnsi="Century Gothic" w:cs="Century Gothic"/>
          <w:sz w:val="20"/>
          <w:szCs w:val="20"/>
          <w:lang w:val="es-ES" w:eastAsia="es-ES"/>
        </w:rPr>
        <w:fldChar w:fldCharType="end"/>
      </w:r>
      <w:bookmarkEnd w:id="5"/>
    </w:p>
    <w:p w14:paraId="287824B0" w14:textId="77777777" w:rsidR="001C0A69" w:rsidRDefault="001C0A69">
      <w:pPr>
        <w:pStyle w:val="Textoindependiente21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24242CF6" w14:textId="2CD9DADB" w:rsidR="001C0A69" w:rsidRDefault="00EE5A82" w:rsidP="00EE5A82">
      <w:pPr>
        <w:pStyle w:val="Textoindependiente21"/>
        <w:spacing w:after="0" w:line="240" w:lineRule="auto"/>
        <w:jc w:val="center"/>
      </w:pPr>
      <w:r>
        <w:rPr>
          <w:rFonts w:ascii="Century Gothic" w:hAnsi="Century Gothic" w:cs="Century Gothic"/>
          <w:sz w:val="20"/>
          <w:szCs w:val="20"/>
        </w:rPr>
        <w:t>TITULAR SECRETARIA</w:t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  <w:t>TITULAR PRESIDENCIA</w:t>
      </w:r>
    </w:p>
    <w:p w14:paraId="1ADD959D" w14:textId="77777777" w:rsidR="001C0A69" w:rsidRDefault="001C0A69">
      <w:pPr>
        <w:pStyle w:val="Textoindependiente21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41C15D02" w14:textId="77777777" w:rsidR="001C0A69" w:rsidRDefault="001C0A69">
      <w:pPr>
        <w:pStyle w:val="Textoindependiente21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3219FFAD" w14:textId="77777777" w:rsidR="001C0A69" w:rsidRDefault="001C0A69">
      <w:pPr>
        <w:pStyle w:val="Textoindependiente21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2A72638B" w14:textId="77777777" w:rsidR="001C0A69" w:rsidRDefault="001C0A69">
      <w:pPr>
        <w:pStyle w:val="Textoindependiente21"/>
        <w:spacing w:after="0" w:line="240" w:lineRule="auto"/>
        <w:ind w:left="1416" w:hanging="1416"/>
        <w:rPr>
          <w:rFonts w:ascii="Century Gothic" w:hAnsi="Century Gothic" w:cs="Century Gothic"/>
          <w:sz w:val="20"/>
          <w:szCs w:val="20"/>
        </w:rPr>
      </w:pPr>
    </w:p>
    <w:p w14:paraId="75558C65" w14:textId="5F55277F" w:rsidR="00EE5A82" w:rsidRDefault="001C0A69" w:rsidP="00EE5A82">
      <w:pPr>
        <w:pStyle w:val="Textoindependiente21"/>
        <w:spacing w:after="0" w:line="240" w:lineRule="auto"/>
        <w:ind w:left="1416" w:hanging="708"/>
      </w:pPr>
      <w:r>
        <w:rPr>
          <w:rFonts w:ascii="Century Gothic" w:hAnsi="Century Gothic" w:cs="Century Gothic"/>
          <w:sz w:val="20"/>
          <w:szCs w:val="20"/>
        </w:rPr>
        <w:t>Fdo.:</w:t>
      </w:r>
      <w:r w:rsidR="00EE5A82" w:rsidRPr="00EE5A82">
        <w:t xml:space="preserve"> </w:t>
      </w:r>
      <w:r w:rsidR="00EE5A82">
        <w:fldChar w:fldCharType="begin">
          <w:ffData>
            <w:name w:val=""/>
            <w:enabled/>
            <w:calcOnExit w:val="0"/>
            <w:textInput/>
          </w:ffData>
        </w:fldChar>
      </w:r>
      <w:r w:rsidR="00EE5A82">
        <w:instrText xml:space="preserve"> FORMTEXT </w:instrText>
      </w:r>
      <w:r w:rsidR="00EE5A82">
        <w:rPr>
          <w:rFonts w:ascii="Century Gothic" w:hAnsi="Century Gothic" w:cs="Century Gothic"/>
          <w:sz w:val="20"/>
          <w:szCs w:val="20"/>
        </w:rPr>
      </w:r>
      <w:r w:rsidR="00EE5A82">
        <w:rPr>
          <w:rFonts w:ascii="Century Gothic" w:hAnsi="Century Gothic" w:cs="Century Gothic"/>
          <w:sz w:val="20"/>
          <w:szCs w:val="20"/>
        </w:rPr>
        <w:fldChar w:fldCharType="separate"/>
      </w:r>
      <w:r w:rsidR="00EE5A82">
        <w:rPr>
          <w:rFonts w:ascii="Century Gothic" w:hAnsi="Century Gothic" w:cs="Century Gothic"/>
          <w:sz w:val="20"/>
          <w:szCs w:val="20"/>
          <w:lang w:val="es-ES" w:eastAsia="es-ES"/>
        </w:rPr>
        <w:t>     </w:t>
      </w:r>
      <w:r w:rsidR="00EE5A82">
        <w:rPr>
          <w:rFonts w:ascii="Century Gothic" w:hAnsi="Century Gothic" w:cs="Century Gothic"/>
          <w:sz w:val="20"/>
          <w:szCs w:val="20"/>
          <w:lang w:val="es-ES" w:eastAsia="es-ES"/>
        </w:rPr>
        <w:fldChar w:fldCharType="end"/>
      </w:r>
      <w:r w:rsidR="00EE5A82">
        <w:rPr>
          <w:rFonts w:ascii="Century Gothic" w:hAnsi="Century Gothic" w:cs="Century Gothic"/>
          <w:sz w:val="20"/>
          <w:szCs w:val="20"/>
        </w:rPr>
        <w:tab/>
      </w:r>
      <w:r w:rsidR="00EE5A82">
        <w:rPr>
          <w:rFonts w:ascii="Century Gothic" w:hAnsi="Century Gothic" w:cs="Century Gothic"/>
          <w:sz w:val="20"/>
          <w:szCs w:val="20"/>
        </w:rPr>
        <w:tab/>
      </w:r>
      <w:r w:rsidR="00EE5A82">
        <w:rPr>
          <w:rFonts w:ascii="Century Gothic" w:hAnsi="Century Gothic" w:cs="Century Gothic"/>
          <w:sz w:val="20"/>
          <w:szCs w:val="20"/>
        </w:rPr>
        <w:tab/>
      </w:r>
      <w:r w:rsidR="00EE5A82">
        <w:rPr>
          <w:rFonts w:ascii="Century Gothic" w:hAnsi="Century Gothic" w:cs="Century Gothic"/>
          <w:sz w:val="20"/>
          <w:szCs w:val="20"/>
        </w:rPr>
        <w:tab/>
      </w:r>
      <w:r w:rsidR="00EE5A82">
        <w:rPr>
          <w:rFonts w:ascii="Century Gothic" w:hAnsi="Century Gothic" w:cs="Century Gothic"/>
          <w:sz w:val="20"/>
          <w:szCs w:val="20"/>
        </w:rPr>
        <w:tab/>
      </w:r>
      <w:r w:rsidR="00EE5A82">
        <w:rPr>
          <w:rFonts w:ascii="Century Gothic" w:hAnsi="Century Gothic" w:cs="Century Gothic"/>
          <w:sz w:val="20"/>
          <w:szCs w:val="20"/>
        </w:rPr>
        <w:tab/>
      </w:r>
      <w:r w:rsidR="00EE5A82" w:rsidRPr="00EE5A82">
        <w:rPr>
          <w:rFonts w:ascii="Century Gothic" w:hAnsi="Century Gothic" w:cs="Century Gothic"/>
          <w:sz w:val="20"/>
          <w:szCs w:val="20"/>
        </w:rPr>
        <w:t xml:space="preserve"> </w:t>
      </w:r>
      <w:r w:rsidR="00EE5A82">
        <w:rPr>
          <w:rFonts w:ascii="Century Gothic" w:hAnsi="Century Gothic" w:cs="Century Gothic"/>
          <w:sz w:val="20"/>
          <w:szCs w:val="20"/>
        </w:rPr>
        <w:t>Fdo.:</w:t>
      </w:r>
      <w:r w:rsidR="00EE5A82" w:rsidRPr="00EE5A82">
        <w:t xml:space="preserve"> </w:t>
      </w:r>
      <w:r w:rsidR="00EE5A82">
        <w:fldChar w:fldCharType="begin">
          <w:ffData>
            <w:name w:val=""/>
            <w:enabled/>
            <w:calcOnExit w:val="0"/>
            <w:textInput/>
          </w:ffData>
        </w:fldChar>
      </w:r>
      <w:r w:rsidR="00EE5A82">
        <w:instrText xml:space="preserve"> FORMTEXT </w:instrText>
      </w:r>
      <w:r w:rsidR="00EE5A82">
        <w:rPr>
          <w:rFonts w:ascii="Century Gothic" w:hAnsi="Century Gothic" w:cs="Century Gothic"/>
          <w:sz w:val="20"/>
          <w:szCs w:val="20"/>
        </w:rPr>
      </w:r>
      <w:r w:rsidR="00EE5A82">
        <w:rPr>
          <w:rFonts w:ascii="Century Gothic" w:hAnsi="Century Gothic" w:cs="Century Gothic"/>
          <w:sz w:val="20"/>
          <w:szCs w:val="20"/>
        </w:rPr>
        <w:fldChar w:fldCharType="separate"/>
      </w:r>
      <w:r w:rsidR="00EE5A82">
        <w:rPr>
          <w:rFonts w:ascii="Century Gothic" w:hAnsi="Century Gothic" w:cs="Century Gothic"/>
          <w:sz w:val="20"/>
          <w:szCs w:val="20"/>
          <w:lang w:val="es-ES" w:eastAsia="es-ES"/>
        </w:rPr>
        <w:t>     </w:t>
      </w:r>
      <w:r w:rsidR="00EE5A82">
        <w:rPr>
          <w:rFonts w:ascii="Century Gothic" w:hAnsi="Century Gothic" w:cs="Century Gothic"/>
          <w:sz w:val="20"/>
          <w:szCs w:val="20"/>
          <w:lang w:val="es-ES" w:eastAsia="es-ES"/>
        </w:rPr>
        <w:fldChar w:fldCharType="end"/>
      </w:r>
      <w:r w:rsidR="00EE5A82">
        <w:rPr>
          <w:rFonts w:ascii="Century Gothic" w:hAnsi="Century Gothic" w:cs="Century Gothic"/>
          <w:sz w:val="20"/>
          <w:szCs w:val="20"/>
        </w:rPr>
        <w:t>.</w:t>
      </w:r>
    </w:p>
    <w:p w14:paraId="0161A138" w14:textId="6DF8032A" w:rsidR="001C0A69" w:rsidRDefault="001C0A69">
      <w:pPr>
        <w:pStyle w:val="Textoindependiente21"/>
        <w:spacing w:after="0" w:line="240" w:lineRule="auto"/>
        <w:ind w:left="1416" w:hanging="1416"/>
      </w:pPr>
    </w:p>
    <w:p w14:paraId="24B16BEF" w14:textId="60D91118" w:rsidR="001C0A69" w:rsidRDefault="001C0A69" w:rsidP="00EE5A82">
      <w:pPr>
        <w:pStyle w:val="Textoindependiente21"/>
        <w:spacing w:after="0" w:line="240" w:lineRule="auto"/>
        <w:ind w:left="4248"/>
      </w:pPr>
      <w:r>
        <w:rPr>
          <w:rFonts w:ascii="Century Gothic" w:eastAsia="Century Gothic" w:hAnsi="Century Gothic" w:cs="Century Gothic"/>
          <w:sz w:val="20"/>
          <w:szCs w:val="20"/>
        </w:rPr>
        <w:t xml:space="preserve">      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06" w:right="1701" w:bottom="2062" w:left="1701" w:header="1417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3161" w14:textId="77777777" w:rsidR="001C0A69" w:rsidRDefault="001C0A69">
      <w:r>
        <w:separator/>
      </w:r>
    </w:p>
  </w:endnote>
  <w:endnote w:type="continuationSeparator" w:id="0">
    <w:p w14:paraId="1C06CEF7" w14:textId="77777777" w:rsidR="001C0A69" w:rsidRDefault="001C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7B83" w14:textId="77777777" w:rsidR="001C0A69" w:rsidRDefault="001C0A69">
    <w:pPr>
      <w:pStyle w:val="Textocomentario1"/>
      <w:jc w:val="both"/>
    </w:pPr>
    <w:r>
      <w:rPr>
        <w:rFonts w:ascii="Century Gothic" w:hAnsi="Century Gothic" w:cs="Century Gothic"/>
        <w:sz w:val="16"/>
        <w:szCs w:val="16"/>
      </w:rPr>
      <w:t>* De haberse producido desviaciones respecto de los criterios contenidos en los Códigos de Conducta aprobados, deberán relacionarse y describirse las operaciones en que se hayan producido tales desviaciones y las razones que en cada caso las justifican.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B487" w14:textId="77777777" w:rsidR="001C0A69" w:rsidRDefault="001C0A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8AAF" w14:textId="77777777" w:rsidR="001C0A69" w:rsidRDefault="001C0A69">
      <w:r>
        <w:separator/>
      </w:r>
    </w:p>
  </w:footnote>
  <w:footnote w:type="continuationSeparator" w:id="0">
    <w:p w14:paraId="1EF522C3" w14:textId="77777777" w:rsidR="001C0A69" w:rsidRDefault="001C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582E" w14:textId="77777777" w:rsidR="001C0A69" w:rsidRDefault="001C0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2F5D" w14:textId="77777777" w:rsidR="001C0A69" w:rsidRDefault="001C0A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18"/>
      </w:rPr>
    </w:lvl>
  </w:abstractNum>
  <w:num w:numId="1" w16cid:durableId="1564634218">
    <w:abstractNumId w:val="0"/>
  </w:num>
  <w:num w:numId="2" w16cid:durableId="195239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583"/>
    <w:rsid w:val="00132872"/>
    <w:rsid w:val="001C0A69"/>
    <w:rsid w:val="00D04583"/>
    <w:rsid w:val="00E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274D80"/>
  <w15:chartTrackingRefBased/>
  <w15:docId w15:val="{7554A21C-2292-4463-B3A8-D157CE51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3">
    <w:name w:val="heading 3"/>
    <w:basedOn w:val="Ttulo1"/>
    <w:next w:val="Textoindependiente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000000"/>
      <w:sz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Refdecomentario1">
    <w:name w:val="Ref. de comentario1"/>
    <w:rPr>
      <w:sz w:val="16"/>
      <w:szCs w:val="16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Pr>
      <w:rFonts w:ascii="Verdana" w:hAnsi="Verdana" w:cs="Verdana"/>
      <w:b/>
      <w:bCs/>
      <w:color w:val="800000"/>
      <w:sz w:val="18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pPr>
      <w:suppressLineNumbers/>
      <w:tabs>
        <w:tab w:val="center" w:pos="4252"/>
        <w:tab w:val="right" w:pos="8504"/>
      </w:tabs>
    </w:p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1964</Characters>
  <Application>Microsoft Office Word</Application>
  <DocSecurity>0</DocSecurity>
  <Lines>16</Lines>
  <Paragraphs>4</Paragraphs>
  <ScaleCrop>false</ScaleCrop>
  <Company>Junta de Andalucia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ANUAL RELATIVO AL CUMPLIMIENTO DE LOS CÓDIGOS DE CONDUCTA</dc:title>
  <dc:subject/>
  <dc:creator>EDUCACIÓN. S.G.T. DIV. FUNDACIONES</dc:creator>
  <cp:keywords/>
  <cp:lastModifiedBy>JOSE MARIA MAZA GONGORA</cp:lastModifiedBy>
  <cp:revision>2</cp:revision>
  <cp:lastPrinted>2016-05-10T12:29:00Z</cp:lastPrinted>
  <dcterms:created xsi:type="dcterms:W3CDTF">2025-04-20T09:23:00Z</dcterms:created>
  <dcterms:modified xsi:type="dcterms:W3CDTF">2025-04-20T09:23:00Z</dcterms:modified>
</cp:coreProperties>
</file>