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DC6" w:rsidRDefault="00A15DC6" w:rsidP="00164953">
      <w:pPr>
        <w:jc w:val="both"/>
        <w:rPr>
          <w:b/>
          <w:bCs/>
          <w:color w:val="4F81BD" w:themeColor="accent1"/>
        </w:rPr>
      </w:pPr>
    </w:p>
    <w:p w:rsidR="00C26559" w:rsidRPr="007A714A" w:rsidRDefault="00C26559" w:rsidP="00164953">
      <w:pPr>
        <w:jc w:val="both"/>
        <w:rPr>
          <w:b/>
          <w:bCs/>
          <w:color w:val="4F81BD" w:themeColor="accent1"/>
        </w:rPr>
      </w:pPr>
      <w:r w:rsidRPr="007A714A">
        <w:rPr>
          <w:b/>
          <w:bCs/>
          <w:color w:val="4F81BD" w:themeColor="accent1"/>
        </w:rPr>
        <w:t xml:space="preserve">Demanda de Soluciones Innovadoras </w:t>
      </w:r>
      <w:r w:rsidR="004602C7">
        <w:rPr>
          <w:b/>
          <w:bCs/>
          <w:color w:val="4F81BD" w:themeColor="accent1"/>
        </w:rPr>
        <w:t xml:space="preserve">en el sector aeroespacial </w:t>
      </w:r>
      <w:r w:rsidRPr="007A714A">
        <w:rPr>
          <w:b/>
          <w:bCs/>
          <w:color w:val="4F81BD" w:themeColor="accent1"/>
        </w:rPr>
        <w:t xml:space="preserve">de la Consejería de </w:t>
      </w:r>
      <w:r w:rsidR="008944F0" w:rsidRPr="007A714A">
        <w:rPr>
          <w:b/>
          <w:bCs/>
          <w:color w:val="4F81BD" w:themeColor="accent1"/>
        </w:rPr>
        <w:t xml:space="preserve">Economía, Conocimiento, Empresas y Universidad </w:t>
      </w:r>
      <w:r w:rsidR="004602C7">
        <w:rPr>
          <w:b/>
          <w:bCs/>
          <w:color w:val="4F81BD" w:themeColor="accent1"/>
        </w:rPr>
        <w:t>(</w:t>
      </w:r>
      <w:r w:rsidR="008944F0" w:rsidRPr="007A714A">
        <w:rPr>
          <w:b/>
          <w:bCs/>
          <w:color w:val="4F81BD" w:themeColor="accent1"/>
        </w:rPr>
        <w:t>CECEU</w:t>
      </w:r>
      <w:r w:rsidR="004602C7">
        <w:rPr>
          <w:b/>
          <w:bCs/>
          <w:color w:val="4F81BD" w:themeColor="accent1"/>
        </w:rPr>
        <w:t>)</w:t>
      </w:r>
      <w:r w:rsidR="00E0135B" w:rsidRPr="007A714A">
        <w:rPr>
          <w:b/>
          <w:bCs/>
          <w:color w:val="4F81BD" w:themeColor="accent1"/>
        </w:rPr>
        <w:t xml:space="preserve"> a través de la Agencia de Innovación y Desarrollo de Andalucía IDEA</w:t>
      </w:r>
      <w:r w:rsidR="004602C7">
        <w:rPr>
          <w:b/>
          <w:bCs/>
          <w:color w:val="4F81BD" w:themeColor="accent1"/>
        </w:rPr>
        <w:t xml:space="preserve">, en el marco de la </w:t>
      </w:r>
      <w:r w:rsidR="004602C7" w:rsidRPr="004602C7">
        <w:rPr>
          <w:b/>
          <w:bCs/>
          <w:color w:val="4F81BD" w:themeColor="accent1"/>
        </w:rPr>
        <w:t>Llamada de Expresiones de Interés para Soluciones Innovadoras Orientadas a Demanda Pública Española</w:t>
      </w:r>
      <w:r w:rsidR="004602C7">
        <w:rPr>
          <w:b/>
          <w:bCs/>
          <w:color w:val="4F81BD" w:themeColor="accent1"/>
        </w:rPr>
        <w:t xml:space="preserve"> de CDTI</w:t>
      </w:r>
      <w:r w:rsidR="00BA4E80">
        <w:rPr>
          <w:b/>
          <w:bCs/>
          <w:color w:val="4F81BD" w:themeColor="accent1"/>
        </w:rPr>
        <w:t xml:space="preserve"> </w:t>
      </w:r>
    </w:p>
    <w:p w:rsidR="00C26559" w:rsidRPr="007A714A" w:rsidRDefault="00BA4E80" w:rsidP="00164953">
      <w:pPr>
        <w:jc w:val="both"/>
        <w:rPr>
          <w:b/>
          <w:bCs/>
        </w:rPr>
      </w:pPr>
      <w:r w:rsidRPr="007A714A">
        <w:rPr>
          <w:b/>
          <w:bCs/>
        </w:rPr>
        <w:t>1. ANTECEDENTES:</w:t>
      </w:r>
    </w:p>
    <w:p w:rsidR="00C26559" w:rsidRPr="007A714A" w:rsidRDefault="008944F0" w:rsidP="00164953">
      <w:pPr>
        <w:jc w:val="both"/>
        <w:rPr>
          <w:b/>
          <w:bCs/>
        </w:rPr>
      </w:pPr>
      <w:r w:rsidRPr="007A714A">
        <w:rPr>
          <w:b/>
        </w:rPr>
        <w:t>La Compra Pública de Innovación (CPI) es una herramienta para fomentar la innovación desde el sector público, concretamente a través de la adquisición de soluciones innovadoras o de so</w:t>
      </w:r>
      <w:r w:rsidR="00366C8A" w:rsidRPr="007A714A">
        <w:rPr>
          <w:b/>
        </w:rPr>
        <w:t xml:space="preserve">luciones en fase de desarrollo, con la que </w:t>
      </w:r>
      <w:r w:rsidRPr="007A714A">
        <w:rPr>
          <w:b/>
        </w:rPr>
        <w:t xml:space="preserve">se pretende recabar propuestas de potenciales proveedores de servicios de I+D, preferiblemente empresas, que puedan constituir un repositorio de </w:t>
      </w:r>
      <w:r w:rsidR="00366C8A" w:rsidRPr="007A714A">
        <w:rPr>
          <w:b/>
        </w:rPr>
        <w:t xml:space="preserve">ideas para futuras licitaciones; lo que se </w:t>
      </w:r>
      <w:r w:rsidR="00C26559" w:rsidRPr="007A714A">
        <w:t xml:space="preserve"> enmarca en el contexto del impulso que este departamento de la administración autonómica quiere otorgar a la política de Compra Pública de Innovación.</w:t>
      </w:r>
    </w:p>
    <w:p w:rsidR="00C26559" w:rsidRPr="007A714A" w:rsidRDefault="00C26559" w:rsidP="00164953">
      <w:pPr>
        <w:jc w:val="both"/>
      </w:pPr>
      <w:r w:rsidRPr="007A714A">
        <w:t xml:space="preserve">En los últimos años, y en especial desde la aprobación de la </w:t>
      </w:r>
      <w:hyperlink r:id="rId8" w:history="1">
        <w:r w:rsidRPr="007A714A">
          <w:rPr>
            <w:rStyle w:val="Hipervnculo"/>
            <w:b/>
            <w:bCs/>
          </w:rPr>
          <w:t xml:space="preserve">Estrategia Europa </w:t>
        </w:r>
        <w:proofErr w:type="gramStart"/>
        <w:r w:rsidRPr="007A714A">
          <w:rPr>
            <w:rStyle w:val="Hipervnculo"/>
            <w:b/>
            <w:bCs/>
          </w:rPr>
          <w:t>2020</w:t>
        </w:r>
        <w:r w:rsidRPr="007A714A">
          <w:rPr>
            <w:rStyle w:val="Hipervnculo"/>
          </w:rPr>
          <w:t xml:space="preserve"> </w:t>
        </w:r>
        <w:proofErr w:type="gramEnd"/>
      </w:hyperlink>
      <w:r w:rsidRPr="007A714A">
        <w:t>, la innovación ha pasado a convertirse en un eje fundamental de la actividad de todas las administraciones de los países miembros de la UE. En el caso de la administración autonómica de Andalucía, este nuevo paradigma cobra una relevancia especial por la vinculación directa de los Fondos Europeos a la consecución de los objetivos relacionados con hacer que la base del crecimiento económico y social sostenible sea el conocimiento y la innovación.</w:t>
      </w:r>
    </w:p>
    <w:p w:rsidR="00C26559" w:rsidRPr="007A714A" w:rsidRDefault="00C26559" w:rsidP="00164953">
      <w:pPr>
        <w:jc w:val="both"/>
      </w:pPr>
      <w:r w:rsidRPr="007A714A">
        <w:t xml:space="preserve">La </w:t>
      </w:r>
      <w:r w:rsidRPr="007A714A">
        <w:rPr>
          <w:b/>
          <w:bCs/>
        </w:rPr>
        <w:t>Compra Pública de Innovación (CPI)</w:t>
      </w:r>
      <w:r w:rsidRPr="007A714A">
        <w:t>, además de política, se define como mecanismo de contratación pública en pleno despegue, destinado a “</w:t>
      </w:r>
      <w:r w:rsidRPr="007A714A">
        <w:rPr>
          <w:i/>
          <w:iCs/>
        </w:rPr>
        <w:t>hacer uso estratégico del importante volumen de contratación de las administraciones como motor de impulso para que las Pymes, emprendedores y empresas realicen apuestas tecnológicas dirigidas a satisfacer necesidades del sector público que no encuentran respuesta en el mercado</w:t>
      </w:r>
      <w:r w:rsidRPr="007A714A">
        <w:t>”.</w:t>
      </w:r>
    </w:p>
    <w:p w:rsidR="00366C8A" w:rsidRPr="007A714A" w:rsidRDefault="00C26559" w:rsidP="00366C8A">
      <w:pPr>
        <w:jc w:val="both"/>
        <w:rPr>
          <w:b/>
        </w:rPr>
      </w:pPr>
      <w:r w:rsidRPr="007A714A">
        <w:t>Con la finalidad de otorgar la máxima relevancia a esta figura en la Junta de Andalucía, se aprobó la “</w:t>
      </w:r>
      <w:hyperlink r:id="rId9" w:history="1">
        <w:r w:rsidRPr="007A714A">
          <w:rPr>
            <w:rStyle w:val="Hipervnculo"/>
          </w:rPr>
          <w:t xml:space="preserve"> </w:t>
        </w:r>
        <w:r w:rsidRPr="007A714A">
          <w:rPr>
            <w:rStyle w:val="Hipervnculo"/>
            <w:b/>
            <w:bCs/>
          </w:rPr>
          <w:t>Estrategia para el Impulso y Consolidación de la Compra Pública de Innovación en la Administración Pública de la Junta de Andalucía</w:t>
        </w:r>
        <w:r w:rsidRPr="007A714A">
          <w:rPr>
            <w:rStyle w:val="Hipervnculo"/>
          </w:rPr>
          <w:t xml:space="preserve"> </w:t>
        </w:r>
      </w:hyperlink>
      <w:r w:rsidRPr="007A714A">
        <w:t>” por Acuerdo d</w:t>
      </w:r>
      <w:r w:rsidR="00E0135B" w:rsidRPr="007A714A">
        <w:t>e 4 de septiembre de 2018</w:t>
      </w:r>
      <w:r w:rsidRPr="007A714A">
        <w:t xml:space="preserve"> del Consejo de Gobierno</w:t>
      </w:r>
      <w:r w:rsidR="00E0135B" w:rsidRPr="007A714A">
        <w:t xml:space="preserve"> por el que se aprueba la Estrategia para el impulso y consolidación de la Compra Pública de Innovación (CPI) en la Administración Pública de la Junta de Andalucía</w:t>
      </w:r>
      <w:r w:rsidRPr="007A714A">
        <w:t xml:space="preserve">. La Consejería de </w:t>
      </w:r>
      <w:r w:rsidR="00366C8A" w:rsidRPr="007A714A">
        <w:t xml:space="preserve">Economía, Conocimiento, Empresas y Universidad, </w:t>
      </w:r>
      <w:r w:rsidRPr="007A714A">
        <w:t xml:space="preserve"> ha querido asumir expresamente este reto, y, en su</w:t>
      </w:r>
      <w:r w:rsidR="00366C8A" w:rsidRPr="007A714A">
        <w:t xml:space="preserve">   Decreto 104/2019, de 12 de febrero, por el que se regula la estructura orgánica de la Consejería de Economía, Conocimiento, Empresas y Universidad (</w:t>
      </w:r>
      <w:hyperlink r:id="rId10" w:tooltip="Decreto 104/2019, de 12 de febrero, por el que se regula ..." w:history="1">
        <w:r w:rsidR="00366C8A" w:rsidRPr="007A714A">
          <w:rPr>
            <w:rStyle w:val="Hipervnculo"/>
            <w:i/>
            <w:iCs/>
          </w:rPr>
          <w:t>https://www.juntadeandalucia.es/boja/2019/31/9</w:t>
        </w:r>
      </w:hyperlink>
      <w:r w:rsidR="00366C8A" w:rsidRPr="007A714A">
        <w:t xml:space="preserve">) </w:t>
      </w:r>
      <w:r w:rsidRPr="007A714A">
        <w:t>se recoge, como una competencia</w:t>
      </w:r>
      <w:r w:rsidR="00366C8A" w:rsidRPr="007A714A">
        <w:t>:</w:t>
      </w:r>
      <w:r w:rsidRPr="007A714A">
        <w:t xml:space="preserve"> </w:t>
      </w:r>
      <w:r w:rsidR="00366C8A" w:rsidRPr="007A714A">
        <w:rPr>
          <w:b/>
        </w:rPr>
        <w:t>El apoyo a la innovación tecnológica y la inversión empresarial en materia tecnológica así como el desarrollo de la cultura emprendedora y del emprendimiento tecnológico en la Comunidad Autónoma, sin perjuicio de las competencias que correspondan en esta materia a otras Consejerías</w:t>
      </w:r>
      <w:r w:rsidR="00366C8A" w:rsidRPr="007A714A">
        <w:t xml:space="preserve">; así como se adscribe a dicha Consejería la Agencia de Innovación y Desarrollo de Andalucía (IDEA), entre cuyas competencias, como agencia de desarrollo regional del Gobierno andaluz,  contempla: </w:t>
      </w:r>
      <w:r w:rsidR="00366C8A" w:rsidRPr="007A714A">
        <w:rPr>
          <w:b/>
        </w:rPr>
        <w:t xml:space="preserve">El fomento de la innovación en la sociedad </w:t>
      </w:r>
      <w:r w:rsidR="00366C8A" w:rsidRPr="007A714A">
        <w:rPr>
          <w:b/>
        </w:rPr>
        <w:lastRenderedPageBreak/>
        <w:t>andaluza, para lo que realiza un importante esfuerzo en la labor de apoyo al empresariado andaluz: desde la gestión y concesión de incentivos a las empresas, a la gestión de proyectos y programas de la Consejería de Economía, Conocimiento, Empresa y Universidad, así como a la construcción</w:t>
      </w:r>
      <w:r w:rsidR="00E0135B" w:rsidRPr="007A714A">
        <w:rPr>
          <w:b/>
        </w:rPr>
        <w:t xml:space="preserve"> y adquisición</w:t>
      </w:r>
      <w:r w:rsidR="00366C8A" w:rsidRPr="007A714A">
        <w:rPr>
          <w:b/>
        </w:rPr>
        <w:t xml:space="preserve"> de infraestructuras industriales y tecnológicas.</w:t>
      </w:r>
    </w:p>
    <w:p w:rsidR="00C26559" w:rsidRPr="007A714A" w:rsidRDefault="00C26559" w:rsidP="00164953">
      <w:pPr>
        <w:jc w:val="both"/>
      </w:pPr>
      <w:r w:rsidRPr="007A714A">
        <w:t xml:space="preserve">Con ello se pretende dar la necesaria prioridad al uso de esta importante herramienta de impulso a la innovación en las empresas que redunde directamente en la modernización de la </w:t>
      </w:r>
      <w:r w:rsidR="00366C8A" w:rsidRPr="007A714A">
        <w:t xml:space="preserve"> </w:t>
      </w:r>
      <w:r w:rsidRPr="007A714A">
        <w:t>administración autonómica</w:t>
      </w:r>
    </w:p>
    <w:p w:rsidR="00E0135B" w:rsidRPr="007A714A" w:rsidRDefault="00BA4E80" w:rsidP="00E0135B">
      <w:pPr>
        <w:jc w:val="both"/>
        <w:rPr>
          <w:b/>
          <w:bCs/>
        </w:rPr>
      </w:pPr>
      <w:r w:rsidRPr="007A714A">
        <w:rPr>
          <w:b/>
          <w:bCs/>
        </w:rPr>
        <w:t>2. OBJETIVO Y JUSTIFICACIÓN</w:t>
      </w:r>
    </w:p>
    <w:p w:rsidR="006F601B" w:rsidRDefault="00E0135B" w:rsidP="006F601B">
      <w:pPr>
        <w:jc w:val="both"/>
      </w:pPr>
      <w:r w:rsidRPr="007A714A">
        <w:rPr>
          <w:b/>
          <w:bCs/>
        </w:rPr>
        <w:t xml:space="preserve">El pasado 30 de abril el </w:t>
      </w:r>
      <w:hyperlink r:id="rId11" w:history="1">
        <w:r w:rsidRPr="007A714A">
          <w:rPr>
            <w:rStyle w:val="Hipervnculo"/>
            <w:b/>
            <w:bCs/>
          </w:rPr>
          <w:t xml:space="preserve">Centro para el Desarrollo Tecnológico Industrial (CDTI) </w:t>
        </w:r>
      </w:hyperlink>
      <w:r w:rsidRPr="007A714A">
        <w:rPr>
          <w:b/>
          <w:bCs/>
        </w:rPr>
        <w:t xml:space="preserve">publicó en su web la </w:t>
      </w:r>
      <w:hyperlink r:id="rId12" w:history="1">
        <w:r w:rsidRPr="007A714A">
          <w:rPr>
            <w:rStyle w:val="Hipervnculo"/>
            <w:b/>
            <w:bCs/>
          </w:rPr>
          <w:t xml:space="preserve">Llamada de Expresiones de Interés para Soluciones Innovadoras Orientadas a Demanda Pública </w:t>
        </w:r>
        <w:proofErr w:type="gramStart"/>
        <w:r w:rsidRPr="007A714A">
          <w:rPr>
            <w:rStyle w:val="Hipervnculo"/>
            <w:b/>
            <w:bCs/>
          </w:rPr>
          <w:t xml:space="preserve">Española </w:t>
        </w:r>
        <w:proofErr w:type="gramEnd"/>
      </w:hyperlink>
      <w:r w:rsidRPr="007A714A">
        <w:rPr>
          <w:b/>
          <w:bCs/>
        </w:rPr>
        <w:t>, la cual tiene como fecha de cierre de plazo de presentación de propuestas el día 30 de mayo de 2019</w:t>
      </w:r>
      <w:r w:rsidR="006F601B">
        <w:rPr>
          <w:b/>
          <w:bCs/>
        </w:rPr>
        <w:t xml:space="preserve">. Esta llamada  </w:t>
      </w:r>
      <w:r w:rsidR="006F601B">
        <w:t xml:space="preserve">presenta </w:t>
      </w:r>
      <w:r w:rsidR="00BA3E1B">
        <w:t xml:space="preserve">un total </w:t>
      </w:r>
      <w:r w:rsidR="006F601B">
        <w:t>alineamiento excelente  con la Estrategia de Innovación de Andalucía RIS3ANDALUCÍA y con la  medida de la Estrategia Industrial de Andalucía 2020</w:t>
      </w:r>
      <w:r w:rsidR="006F601B" w:rsidRPr="00034804">
        <w:t xml:space="preserve"> </w:t>
      </w:r>
      <w:r w:rsidR="006F601B">
        <w:t xml:space="preserve">“Iniciativa industrial de compra pública innovadora vinculada al dominio tecnológico de los vehículos aéreos no tripulados (Código 6.2.1) vinculada al entorno de oportunidad  Espacio y UAVS.  </w:t>
      </w:r>
    </w:p>
    <w:p w:rsidR="00E0135B" w:rsidRPr="007A714A" w:rsidRDefault="00E0135B" w:rsidP="00E0135B">
      <w:pPr>
        <w:jc w:val="both"/>
        <w:rPr>
          <w:b/>
          <w:bCs/>
        </w:rPr>
      </w:pPr>
      <w:r w:rsidRPr="007A714A">
        <w:rPr>
          <w:b/>
          <w:bCs/>
        </w:rPr>
        <w:t xml:space="preserve">Para facilitar el cumplimiento, por parte de las empresas y entidades solicitantes, de los requisitos exigidos en la convocatoria del CDTI, esta Consejería ha realizado la recopilación y publicación, en la presente página web, de un conjunto de necesidades de soluciones innovadoras identificadas para dar respuesta a diferentes ámbitos competenciales </w:t>
      </w:r>
      <w:r w:rsidR="006F601B">
        <w:rPr>
          <w:b/>
          <w:bCs/>
        </w:rPr>
        <w:t>relacionados con esta medida.</w:t>
      </w:r>
    </w:p>
    <w:p w:rsidR="00E0135B" w:rsidRPr="007A714A" w:rsidRDefault="00E0135B" w:rsidP="00E0135B">
      <w:pPr>
        <w:jc w:val="both"/>
        <w:rPr>
          <w:b/>
          <w:bCs/>
        </w:rPr>
      </w:pPr>
      <w:r w:rsidRPr="007A714A">
        <w:rPr>
          <w:b/>
          <w:bCs/>
        </w:rPr>
        <w:t>Mediante este procedimiento abierto se pretende actuar de forma respetuosa con los principios de igualdad de oportunidades, transparencia y libre concurrencia.</w:t>
      </w:r>
    </w:p>
    <w:p w:rsidR="00E0135B" w:rsidRDefault="00E0135B" w:rsidP="00E0135B">
      <w:pPr>
        <w:jc w:val="both"/>
        <w:rPr>
          <w:b/>
          <w:bCs/>
        </w:rPr>
      </w:pPr>
      <w:r w:rsidRPr="007A714A">
        <w:rPr>
          <w:b/>
          <w:bCs/>
        </w:rPr>
        <w:t>De esta forma las empresas podrán presentar expresiones de interés para esta convocatoria, teniendo a la C</w:t>
      </w:r>
      <w:r w:rsidR="00CF3308" w:rsidRPr="007A714A">
        <w:rPr>
          <w:b/>
          <w:bCs/>
        </w:rPr>
        <w:t xml:space="preserve">ECEU, a través de su Agencia IDEA, </w:t>
      </w:r>
      <w:r w:rsidRPr="007A714A">
        <w:rPr>
          <w:b/>
          <w:bCs/>
        </w:rPr>
        <w:t xml:space="preserve"> como organismo público de referencia. </w:t>
      </w:r>
    </w:p>
    <w:p w:rsidR="00BA4E80" w:rsidRPr="00BA4E80" w:rsidRDefault="00BA4E80" w:rsidP="00BA4E80">
      <w:pPr>
        <w:jc w:val="both"/>
        <w:rPr>
          <w:b/>
          <w:bCs/>
        </w:rPr>
      </w:pPr>
      <w:r>
        <w:rPr>
          <w:b/>
          <w:bCs/>
        </w:rPr>
        <w:t xml:space="preserve">3. </w:t>
      </w:r>
      <w:r w:rsidRPr="00BA4E80">
        <w:rPr>
          <w:b/>
          <w:bCs/>
        </w:rPr>
        <w:t>EL SECTOR AEROESPACIAL EN ANDALUCÍA</w:t>
      </w:r>
    </w:p>
    <w:p w:rsidR="00BA4E80" w:rsidRPr="00BA4E80" w:rsidRDefault="00BA4E80" w:rsidP="00BA4E80">
      <w:pPr>
        <w:jc w:val="both"/>
        <w:rPr>
          <w:bCs/>
        </w:rPr>
      </w:pPr>
      <w:r w:rsidRPr="00BA4E80">
        <w:rPr>
          <w:bCs/>
        </w:rPr>
        <w:t xml:space="preserve">El ámbito Aeroespacial es parte de la Estrategia de Innovación RIS3ANDALUCÍA y de la Estrategia Industrial de Andalucía 2020   </w:t>
      </w:r>
    </w:p>
    <w:p w:rsidR="00BA4E80" w:rsidRPr="00BA4E80" w:rsidRDefault="00BA4E80" w:rsidP="00BA4E80">
      <w:pPr>
        <w:jc w:val="both"/>
        <w:rPr>
          <w:bCs/>
        </w:rPr>
      </w:pPr>
      <w:r w:rsidRPr="00BA4E80">
        <w:rPr>
          <w:bCs/>
        </w:rPr>
        <w:t xml:space="preserve">El sector aeronáutico en España genera una actividad de 7.600 </w:t>
      </w:r>
      <w:proofErr w:type="spellStart"/>
      <w:r w:rsidRPr="00BA4E80">
        <w:rPr>
          <w:bCs/>
        </w:rPr>
        <w:t>Mill</w:t>
      </w:r>
      <w:proofErr w:type="spellEnd"/>
      <w:proofErr w:type="gramStart"/>
      <w:r w:rsidRPr="00BA4E80">
        <w:rPr>
          <w:bCs/>
        </w:rPr>
        <w:t>.€</w:t>
      </w:r>
      <w:proofErr w:type="gramEnd"/>
      <w:r w:rsidRPr="00BA4E80">
        <w:rPr>
          <w:bCs/>
        </w:rPr>
        <w:t xml:space="preserve"> en facturación, da empleo estable y de calidad a 40.300 personas, reinvierte el 9,5% de su facturación en I+D+i y es 2,5 veces más productivo que la media de los demás sectores. Adicionalmente, el 85% de su facturación proviene de las exportaciones.</w:t>
      </w:r>
    </w:p>
    <w:p w:rsidR="00BA4E80" w:rsidRPr="00BA4E80" w:rsidRDefault="00BA4E80" w:rsidP="00BA4E80">
      <w:pPr>
        <w:jc w:val="both"/>
        <w:rPr>
          <w:bCs/>
        </w:rPr>
      </w:pPr>
      <w:r w:rsidRPr="00BA4E80">
        <w:rPr>
          <w:bCs/>
        </w:rPr>
        <w:t>La industria aeroespacial es responsable del 6% del gasto en innovación tecnológica nacional y durante la pasada crisis duplicó su aportación al PIB nacional pasando del 2% del PIB en 2004, al 4,5% del PIB en 2014.</w:t>
      </w:r>
    </w:p>
    <w:p w:rsidR="00BA4E80" w:rsidRPr="00BA4E80" w:rsidRDefault="00BA4E80" w:rsidP="00BA4E80">
      <w:pPr>
        <w:jc w:val="both"/>
        <w:rPr>
          <w:b/>
          <w:bCs/>
        </w:rPr>
      </w:pPr>
    </w:p>
    <w:p w:rsidR="00BA4E80" w:rsidRPr="00BA4E80" w:rsidRDefault="00BA4E80" w:rsidP="00BA4E80">
      <w:pPr>
        <w:jc w:val="both"/>
        <w:rPr>
          <w:bCs/>
        </w:rPr>
      </w:pPr>
      <w:r w:rsidRPr="00BA4E80">
        <w:rPr>
          <w:bCs/>
        </w:rPr>
        <w:lastRenderedPageBreak/>
        <w:t xml:space="preserve">Además, la tasa de retorno social generada por los programas aeronáuticos de I+D+i es del 70% anual, lo que significa que por cada 100 euros invertidos en I+D+i aeronáutica, en 10 años se incrementa el PIB en 700 euros (según Oxford </w:t>
      </w:r>
      <w:proofErr w:type="spellStart"/>
      <w:r w:rsidRPr="00BA4E80">
        <w:rPr>
          <w:bCs/>
        </w:rPr>
        <w:t>Economics</w:t>
      </w:r>
      <w:proofErr w:type="spellEnd"/>
      <w:r w:rsidRPr="00BA4E80">
        <w:rPr>
          <w:bCs/>
        </w:rPr>
        <w:t>).</w:t>
      </w:r>
    </w:p>
    <w:p w:rsidR="00BA4E80" w:rsidRPr="00BA4E80" w:rsidRDefault="00BA4E80" w:rsidP="00BA4E80">
      <w:pPr>
        <w:jc w:val="both"/>
        <w:rPr>
          <w:bCs/>
        </w:rPr>
      </w:pPr>
      <w:r w:rsidRPr="00BA4E80">
        <w:rPr>
          <w:bCs/>
        </w:rPr>
        <w:t xml:space="preserve">Andalucía es el tercer polo aeroespacial de Europa, tras Toulouse (Francia) y Hamburgo (Alemania), que junto a Sevilla, con la FAL (línea de montaje final) de Airbus </w:t>
      </w:r>
      <w:proofErr w:type="spellStart"/>
      <w:r w:rsidRPr="00BA4E80">
        <w:rPr>
          <w:bCs/>
        </w:rPr>
        <w:t>Defence</w:t>
      </w:r>
      <w:proofErr w:type="spellEnd"/>
      <w:r w:rsidRPr="00BA4E80">
        <w:rPr>
          <w:bCs/>
        </w:rPr>
        <w:t xml:space="preserve"> &amp; </w:t>
      </w:r>
      <w:proofErr w:type="spellStart"/>
      <w:r w:rsidRPr="00BA4E80">
        <w:rPr>
          <w:bCs/>
        </w:rPr>
        <w:t>Space</w:t>
      </w:r>
      <w:proofErr w:type="spellEnd"/>
      <w:r w:rsidRPr="00BA4E80">
        <w:rPr>
          <w:bCs/>
        </w:rPr>
        <w:t>, son los tres únicos lugares del continente donde se localizan líneas de ensamblaje final de grandes aeronaves.</w:t>
      </w:r>
    </w:p>
    <w:p w:rsidR="00BA4E80" w:rsidRPr="00BA4E80" w:rsidRDefault="00BA4E80" w:rsidP="00BA4E80">
      <w:pPr>
        <w:jc w:val="both"/>
        <w:rPr>
          <w:bCs/>
        </w:rPr>
      </w:pPr>
      <w:r w:rsidRPr="00BA4E80">
        <w:rPr>
          <w:bCs/>
        </w:rPr>
        <w:t>Andalucía es la segunda región aeroespacial de España, tras Madrid, y representa aproximadamente un 30% de la facturación y del empleo nacional en este sector:</w:t>
      </w:r>
    </w:p>
    <w:p w:rsidR="00BA4E80" w:rsidRPr="00BA4E80" w:rsidRDefault="00BA4E80" w:rsidP="00BA4E80">
      <w:pPr>
        <w:pStyle w:val="Prrafodelista"/>
        <w:numPr>
          <w:ilvl w:val="0"/>
          <w:numId w:val="9"/>
        </w:numPr>
        <w:jc w:val="both"/>
        <w:rPr>
          <w:bCs/>
        </w:rPr>
      </w:pPr>
      <w:r w:rsidRPr="00BA4E80">
        <w:rPr>
          <w:bCs/>
        </w:rPr>
        <w:t>La facturación regional aeroespacial es de 2.600 M€/año sólo en Andalucía.</w:t>
      </w:r>
    </w:p>
    <w:p w:rsidR="00BA4E80" w:rsidRPr="00BA4E80" w:rsidRDefault="00BA4E80" w:rsidP="00BA4E80">
      <w:pPr>
        <w:pStyle w:val="Prrafodelista"/>
        <w:numPr>
          <w:ilvl w:val="0"/>
          <w:numId w:val="9"/>
        </w:numPr>
        <w:jc w:val="both"/>
        <w:rPr>
          <w:bCs/>
        </w:rPr>
      </w:pPr>
      <w:r w:rsidRPr="00BA4E80">
        <w:rPr>
          <w:bCs/>
        </w:rPr>
        <w:t>Este sector genera 60.000 empleos directos e indirectos en la región.</w:t>
      </w:r>
    </w:p>
    <w:p w:rsidR="00BA4E80" w:rsidRPr="00BA4E80" w:rsidRDefault="00BA4E80" w:rsidP="00BA4E80">
      <w:pPr>
        <w:pStyle w:val="Prrafodelista"/>
        <w:numPr>
          <w:ilvl w:val="0"/>
          <w:numId w:val="9"/>
        </w:numPr>
        <w:jc w:val="both"/>
        <w:rPr>
          <w:bCs/>
        </w:rPr>
      </w:pPr>
      <w:r w:rsidRPr="00BA4E80">
        <w:rPr>
          <w:bCs/>
        </w:rPr>
        <w:t>Representa un 11% de las exportaciones andaluzas y fue el primer capítulo exportador de la región en 2017</w:t>
      </w:r>
    </w:p>
    <w:p w:rsidR="00BA4E80" w:rsidRPr="00BA4E80" w:rsidRDefault="00BA4E80" w:rsidP="00BA4E80">
      <w:pPr>
        <w:pStyle w:val="Prrafodelista"/>
        <w:numPr>
          <w:ilvl w:val="0"/>
          <w:numId w:val="9"/>
        </w:numPr>
        <w:jc w:val="both"/>
        <w:rPr>
          <w:bCs/>
        </w:rPr>
      </w:pPr>
      <w:r w:rsidRPr="00BA4E80">
        <w:rPr>
          <w:bCs/>
        </w:rPr>
        <w:t>Representa un 1,68% del PIB andaluz</w:t>
      </w:r>
    </w:p>
    <w:p w:rsidR="00BA4E80" w:rsidRPr="00BA4E80" w:rsidRDefault="00BA4E80" w:rsidP="00BA4E80">
      <w:pPr>
        <w:jc w:val="both"/>
        <w:rPr>
          <w:bCs/>
        </w:rPr>
      </w:pPr>
      <w:r w:rsidRPr="00BA4E80">
        <w:rPr>
          <w:bCs/>
        </w:rPr>
        <w:t>Además, Andalucía, lidera las exportaciones españolas en el sector aeroespacial, con el 57% de las ventas nacionales, siendo ya el primer capítulo exportador de la comunidad autónoma (datos de 2017), superando la comercialización del aceite de oliva.</w:t>
      </w:r>
    </w:p>
    <w:p w:rsidR="00BA4E80" w:rsidRPr="00BA4E80" w:rsidRDefault="00BA4E80" w:rsidP="00BA4E80">
      <w:pPr>
        <w:jc w:val="both"/>
        <w:rPr>
          <w:bCs/>
        </w:rPr>
      </w:pPr>
      <w:r w:rsidRPr="00BA4E80">
        <w:rPr>
          <w:bCs/>
        </w:rPr>
        <w:t xml:space="preserve">Sin embargo, Andalucía, y en gran parte España está especializada en el sector de las </w:t>
      </w:r>
      <w:proofErr w:type="spellStart"/>
      <w:r w:rsidRPr="00BA4E80">
        <w:rPr>
          <w:bCs/>
        </w:rPr>
        <w:t>aeroestructuras</w:t>
      </w:r>
      <w:proofErr w:type="spellEnd"/>
      <w:r w:rsidRPr="00BA4E80">
        <w:rPr>
          <w:bCs/>
        </w:rPr>
        <w:t xml:space="preserve">, que suponen un 60% de la facturación total del sector andaluz. Ésta es una actividad muy intensiva en mano de obra y de poco valor añadido en comparación con actividades relacionadas con la fabricación de equipos y de sistemas aeronáuticos, por ejemplo. </w:t>
      </w:r>
    </w:p>
    <w:p w:rsidR="00BA4E80" w:rsidRPr="00BA4E80" w:rsidRDefault="00BA4E80" w:rsidP="00BA4E80">
      <w:pPr>
        <w:jc w:val="both"/>
        <w:rPr>
          <w:bCs/>
        </w:rPr>
      </w:pPr>
      <w:r w:rsidRPr="00BA4E80">
        <w:rPr>
          <w:bCs/>
        </w:rPr>
        <w:t>Debido a lo anterior, la presión para la mejora continua de la competitividad de la cadena de suministro aeroespacial en Europa, España y Andalucía es continua, para contrarrestar el riesgo real y cercano de que se produzca la deslocalización de empresas y empleo, lo cual pone de manifiesto la necesidad de apostar por:</w:t>
      </w:r>
    </w:p>
    <w:p w:rsidR="00BA4E80" w:rsidRPr="00BA4E80" w:rsidRDefault="00BA4E80" w:rsidP="00BA4E80">
      <w:pPr>
        <w:pStyle w:val="Prrafodelista"/>
        <w:numPr>
          <w:ilvl w:val="0"/>
          <w:numId w:val="10"/>
        </w:numPr>
        <w:jc w:val="both"/>
        <w:rPr>
          <w:bCs/>
        </w:rPr>
      </w:pPr>
      <w:r w:rsidRPr="00BA4E80">
        <w:rPr>
          <w:bCs/>
        </w:rPr>
        <w:t xml:space="preserve">Desarrollar tecnologías para el incremento de la competitividad de la industria a través de la introducción de tecnología en los procesos de fabricación avanzada (Industria 4.0, </w:t>
      </w:r>
      <w:proofErr w:type="spellStart"/>
      <w:r w:rsidRPr="00BA4E80">
        <w:rPr>
          <w:bCs/>
        </w:rPr>
        <w:t>IoT</w:t>
      </w:r>
      <w:proofErr w:type="spellEnd"/>
      <w:r w:rsidRPr="00BA4E80">
        <w:rPr>
          <w:bCs/>
        </w:rPr>
        <w:t xml:space="preserve">, generación de Big Data y Data </w:t>
      </w:r>
      <w:proofErr w:type="spellStart"/>
      <w:r w:rsidRPr="00BA4E80">
        <w:rPr>
          <w:bCs/>
        </w:rPr>
        <w:t>Analytics</w:t>
      </w:r>
      <w:proofErr w:type="spellEnd"/>
      <w:r w:rsidRPr="00BA4E80">
        <w:rPr>
          <w:bCs/>
        </w:rPr>
        <w:t xml:space="preserve"> a través de Inteligencia Artificial, automatización, robótica y automatización de procesos de fabricación, digitalización, realidad virtual y aumentada, logística autónoma) para mejorar la competitividad de la industria.</w:t>
      </w:r>
    </w:p>
    <w:p w:rsidR="00BA4E80" w:rsidRPr="00BA4E80" w:rsidRDefault="00BA4E80" w:rsidP="00BA4E80">
      <w:pPr>
        <w:pStyle w:val="Prrafodelista"/>
        <w:numPr>
          <w:ilvl w:val="0"/>
          <w:numId w:val="10"/>
        </w:numPr>
        <w:jc w:val="both"/>
        <w:rPr>
          <w:bCs/>
        </w:rPr>
      </w:pPr>
      <w:r w:rsidRPr="00BA4E80">
        <w:rPr>
          <w:bCs/>
        </w:rPr>
        <w:t>Al mismo tiempo, participar en desarrollo de estas soluciones 4.0 que permitan la mejora disruptiva de procesos de fabricación, inspección y ensayo, así como la interconexión de la cadena de suministro aeroespacial permitirá desarrollar nuevos productos y servicios de mayor valor añadido a las empresas y, por tanto, disminuirá el riesgo de deslocalización o pérdida de empleo.</w:t>
      </w:r>
    </w:p>
    <w:p w:rsidR="00BA4E80" w:rsidRPr="00BA4E80" w:rsidRDefault="00BA4E80" w:rsidP="00BA4E80">
      <w:pPr>
        <w:jc w:val="both"/>
        <w:rPr>
          <w:b/>
          <w:bCs/>
        </w:rPr>
      </w:pPr>
      <w:r w:rsidRPr="00BA4E80">
        <w:rPr>
          <w:b/>
          <w:bCs/>
        </w:rPr>
        <w:lastRenderedPageBreak/>
        <w:t>Por todo ello es de interés para la Consejería de Economía, Conocimiento, Empresas y Universidad, y de la Agencia de Innovación y Desarrollo de Andalucía en el marco de sus competencias proveer a las empresas, las condiciones y la infraestructura tecnológica necesarias para el desarrollo de soluciones tecnológicas a estos retos, que fomenten una mayor competitividad, e incrementen la productividad de las empresas, se han propuesto una serie de líneas de interés en torno a las que desarrollar demostradores tecnológicos o prototipos en entorno real (TRL7) que podrán constituir avances a introducir a medio plazo en los procesos empresariales, o dar lugar a nuevos productos comercializables por las empresas desarrolladoras de los mismos.</w:t>
      </w:r>
    </w:p>
    <w:p w:rsidR="00BA4E80" w:rsidRPr="007A714A" w:rsidRDefault="00B8552A" w:rsidP="00E0135B">
      <w:pPr>
        <w:jc w:val="both"/>
        <w:rPr>
          <w:b/>
          <w:bCs/>
        </w:rPr>
      </w:pPr>
      <w:r>
        <w:rPr>
          <w:b/>
          <w:bCs/>
        </w:rPr>
        <w:t>4</w:t>
      </w:r>
      <w:r w:rsidRPr="00B8552A">
        <w:rPr>
          <w:b/>
          <w:bCs/>
        </w:rPr>
        <w:t>. CONJUNTO DE SOLUCIONES INNOVADORAS DE INTERÉS PARA LA CECEU, AGENCIA IDEA, SECTOR AEROESPACIAL ANDALUZ</w:t>
      </w:r>
    </w:p>
    <w:p w:rsidR="007A714A" w:rsidRPr="00B8552A" w:rsidRDefault="007A714A" w:rsidP="007A714A">
      <w:pPr>
        <w:pStyle w:val="cdti"/>
        <w:rPr>
          <w:rFonts w:ascii="Calibri" w:eastAsia="Calibri" w:hAnsi="Calibri" w:cs="Calibri"/>
          <w:bCs/>
          <w:sz w:val="22"/>
          <w:szCs w:val="22"/>
        </w:rPr>
      </w:pPr>
      <w:r w:rsidRPr="00B8552A">
        <w:rPr>
          <w:rFonts w:ascii="Calibri" w:eastAsia="Calibri" w:hAnsi="Calibri" w:cs="Calibri"/>
          <w:bCs/>
          <w:sz w:val="22"/>
          <w:szCs w:val="22"/>
        </w:rPr>
        <w:t>El presente listado de soluciones innovadoras se presenta bajo las siguientes consideraciones:</w:t>
      </w:r>
    </w:p>
    <w:p w:rsidR="007A714A" w:rsidRPr="00B8552A" w:rsidRDefault="007A714A" w:rsidP="007A714A">
      <w:pPr>
        <w:pStyle w:val="cdti"/>
        <w:rPr>
          <w:rFonts w:ascii="Calibri" w:eastAsia="Calibri" w:hAnsi="Calibri" w:cs="Calibri"/>
          <w:bCs/>
          <w:sz w:val="22"/>
          <w:szCs w:val="22"/>
        </w:rPr>
      </w:pPr>
    </w:p>
    <w:p w:rsidR="007A714A" w:rsidRPr="00B8552A" w:rsidRDefault="007A714A" w:rsidP="007A714A">
      <w:pPr>
        <w:pStyle w:val="cdti"/>
        <w:numPr>
          <w:ilvl w:val="0"/>
          <w:numId w:val="8"/>
        </w:numPr>
        <w:rPr>
          <w:rFonts w:ascii="Calibri" w:eastAsia="Calibri" w:hAnsi="Calibri" w:cs="Calibri"/>
          <w:bCs/>
          <w:sz w:val="22"/>
          <w:szCs w:val="22"/>
        </w:rPr>
      </w:pPr>
      <w:r w:rsidRPr="00B8552A">
        <w:rPr>
          <w:rFonts w:ascii="Calibri" w:eastAsia="Calibri" w:hAnsi="Calibri" w:cs="Calibri"/>
          <w:bCs/>
          <w:sz w:val="22"/>
          <w:szCs w:val="22"/>
        </w:rPr>
        <w:t>Ha sido elaborado expresamente para la “Llamada de Expresiones de Interés para Soluciones Innovadoras Orientadas a Demanda Pública Española” llevada a cabo por el CDTI, con objeto de facilitar a las entidades que presenten propuestas la referencia a un interés y a una necesidad real respaldada por un organismo público elegible para esta convocatoria.</w:t>
      </w:r>
    </w:p>
    <w:p w:rsidR="007A714A" w:rsidRPr="00B8552A" w:rsidRDefault="007A714A" w:rsidP="007A714A">
      <w:pPr>
        <w:pStyle w:val="cdti"/>
        <w:numPr>
          <w:ilvl w:val="0"/>
          <w:numId w:val="8"/>
        </w:numPr>
        <w:rPr>
          <w:rFonts w:ascii="Calibri" w:eastAsia="Calibri" w:hAnsi="Calibri" w:cs="Calibri"/>
          <w:bCs/>
          <w:sz w:val="22"/>
          <w:szCs w:val="22"/>
        </w:rPr>
      </w:pPr>
      <w:r w:rsidRPr="00B8552A">
        <w:rPr>
          <w:rFonts w:ascii="Calibri" w:eastAsia="Calibri" w:hAnsi="Calibri" w:cs="Calibri"/>
          <w:bCs/>
          <w:sz w:val="22"/>
          <w:szCs w:val="22"/>
        </w:rPr>
        <w:t>No pretende ser exhaustivo ni definitivo, pudiendo verse ampliada o modificado.</w:t>
      </w:r>
    </w:p>
    <w:p w:rsidR="007A714A" w:rsidRPr="00B8552A" w:rsidRDefault="007A714A" w:rsidP="007A714A">
      <w:pPr>
        <w:pStyle w:val="cdti"/>
        <w:numPr>
          <w:ilvl w:val="0"/>
          <w:numId w:val="8"/>
        </w:numPr>
        <w:rPr>
          <w:rFonts w:ascii="Calibri" w:eastAsia="Calibri" w:hAnsi="Calibri" w:cs="Calibri"/>
          <w:bCs/>
          <w:sz w:val="22"/>
          <w:szCs w:val="22"/>
        </w:rPr>
      </w:pPr>
      <w:r w:rsidRPr="00B8552A">
        <w:rPr>
          <w:rFonts w:ascii="Calibri" w:eastAsia="Calibri" w:hAnsi="Calibri" w:cs="Calibri"/>
          <w:bCs/>
          <w:sz w:val="22"/>
          <w:szCs w:val="22"/>
        </w:rPr>
        <w:t>Las demandas y potenciales soluciones innovadoras identificadas, lo son a título de propuesta inicial de expresión de interés. Los compromisos firmes de este organismo para el desarrollo de un proyecto de CPI en el marco de esta llamada se fijarían en el potencial convenio a suscribir con el CDTI que la propia convocatoria contempla.</w:t>
      </w:r>
    </w:p>
    <w:p w:rsidR="00BA3E1B" w:rsidRPr="00B8552A" w:rsidRDefault="00BA3E1B" w:rsidP="007A714A">
      <w:pPr>
        <w:pStyle w:val="cdti"/>
        <w:rPr>
          <w:rFonts w:ascii="Calibri" w:eastAsia="Calibri" w:hAnsi="Calibri" w:cs="Calibri"/>
          <w:bCs/>
          <w:sz w:val="22"/>
          <w:szCs w:val="22"/>
        </w:rPr>
      </w:pPr>
    </w:p>
    <w:p w:rsidR="00BA3E1B" w:rsidRPr="00B8552A" w:rsidRDefault="00BA3E1B" w:rsidP="00B8552A">
      <w:pPr>
        <w:pStyle w:val="cdti"/>
        <w:jc w:val="center"/>
        <w:rPr>
          <w:rFonts w:ascii="Calibri" w:eastAsia="Calibri" w:hAnsi="Calibri" w:cs="Calibri"/>
          <w:bCs/>
          <w:color w:val="1F497D" w:themeColor="text2"/>
          <w:sz w:val="32"/>
          <w:szCs w:val="22"/>
        </w:rPr>
      </w:pPr>
    </w:p>
    <w:p w:rsidR="007A714A" w:rsidRPr="00B8552A" w:rsidRDefault="007A714A" w:rsidP="00B8552A">
      <w:pPr>
        <w:pStyle w:val="cdti"/>
        <w:jc w:val="center"/>
        <w:rPr>
          <w:rFonts w:ascii="Calibri" w:eastAsia="Calibri" w:hAnsi="Calibri" w:cs="Calibri"/>
          <w:b/>
          <w:bCs/>
          <w:color w:val="1F497D" w:themeColor="text2"/>
          <w:sz w:val="32"/>
          <w:szCs w:val="22"/>
        </w:rPr>
      </w:pPr>
      <w:r w:rsidRPr="00B8552A">
        <w:rPr>
          <w:rFonts w:ascii="Calibri" w:eastAsia="Calibri" w:hAnsi="Calibri" w:cs="Calibri"/>
          <w:b/>
          <w:bCs/>
          <w:color w:val="1F497D" w:themeColor="text2"/>
          <w:sz w:val="32"/>
          <w:szCs w:val="22"/>
        </w:rPr>
        <w:t>Demandas de necesidades y soluciones</w:t>
      </w:r>
    </w:p>
    <w:p w:rsidR="007A714A" w:rsidRPr="007A714A" w:rsidRDefault="007A714A" w:rsidP="007A714A">
      <w:pPr>
        <w:pStyle w:val="cdti"/>
        <w:ind w:left="720"/>
        <w:rPr>
          <w:rFonts w:ascii="Calibri" w:eastAsia="Calibri" w:hAnsi="Calibri" w:cs="Calibri"/>
          <w:b/>
          <w:bCs/>
          <w:sz w:val="22"/>
          <w:szCs w:val="22"/>
        </w:rPr>
      </w:pPr>
    </w:p>
    <w:p w:rsidR="007A714A" w:rsidRPr="00BA3E1B" w:rsidRDefault="007A714A" w:rsidP="007A714A">
      <w:pPr>
        <w:pStyle w:val="cdti"/>
        <w:numPr>
          <w:ilvl w:val="0"/>
          <w:numId w:val="7"/>
        </w:numPr>
        <w:rPr>
          <w:rFonts w:ascii="Calibri" w:eastAsia="Calibri" w:hAnsi="Calibri" w:cs="Calibri"/>
          <w:bCs/>
          <w:sz w:val="22"/>
          <w:szCs w:val="22"/>
        </w:rPr>
      </w:pPr>
      <w:r w:rsidRPr="00BA3E1B">
        <w:rPr>
          <w:rFonts w:ascii="Calibri" w:eastAsia="Calibri" w:hAnsi="Calibri" w:cs="Calibri"/>
          <w:bCs/>
          <w:sz w:val="22"/>
          <w:szCs w:val="22"/>
        </w:rPr>
        <w:t>Demostradores tecnológicos o prototipos en un entorno real (TRL-7), de soluciones ligadas al concepto</w:t>
      </w:r>
      <w:r w:rsidR="00BA3E1B" w:rsidRPr="00BA3E1B">
        <w:rPr>
          <w:rFonts w:ascii="Calibri" w:eastAsia="Calibri" w:hAnsi="Calibri" w:cs="Calibri"/>
          <w:bCs/>
          <w:sz w:val="22"/>
          <w:szCs w:val="22"/>
        </w:rPr>
        <w:t xml:space="preserve"> de </w:t>
      </w:r>
      <w:r w:rsidR="00BA3E1B" w:rsidRPr="00BA3E1B">
        <w:rPr>
          <w:rFonts w:ascii="Calibri" w:eastAsia="Calibri" w:hAnsi="Calibri" w:cs="Calibri"/>
          <w:b/>
          <w:bCs/>
          <w:sz w:val="22"/>
          <w:szCs w:val="22"/>
        </w:rPr>
        <w:t>Fabricación Aeroespacial Avanzada</w:t>
      </w:r>
      <w:r w:rsidR="00BA3E1B" w:rsidRPr="00BA3E1B">
        <w:rPr>
          <w:rFonts w:ascii="Calibri" w:eastAsia="Calibri" w:hAnsi="Calibri" w:cs="Calibri"/>
          <w:bCs/>
          <w:sz w:val="22"/>
          <w:szCs w:val="22"/>
        </w:rPr>
        <w:t xml:space="preserve"> </w:t>
      </w:r>
      <w:r w:rsidRPr="00BA3E1B">
        <w:rPr>
          <w:rFonts w:ascii="Calibri" w:eastAsia="Calibri" w:hAnsi="Calibri" w:cs="Calibri"/>
          <w:bCs/>
          <w:sz w:val="22"/>
          <w:szCs w:val="22"/>
        </w:rPr>
        <w:t xml:space="preserve">que puedan suponer </w:t>
      </w:r>
      <w:r w:rsidRPr="00BA3E1B">
        <w:rPr>
          <w:rFonts w:ascii="Calibri" w:eastAsia="Calibri" w:hAnsi="Calibri" w:cs="Calibri"/>
          <w:b/>
          <w:bCs/>
          <w:sz w:val="22"/>
          <w:szCs w:val="22"/>
        </w:rPr>
        <w:t>saltos disruptivos en la competitividad empresarial</w:t>
      </w:r>
      <w:r w:rsidRPr="00BA3E1B">
        <w:rPr>
          <w:rFonts w:ascii="Calibri" w:eastAsia="Calibri" w:hAnsi="Calibri" w:cs="Calibri"/>
          <w:bCs/>
          <w:sz w:val="22"/>
          <w:szCs w:val="22"/>
        </w:rPr>
        <w:t>.</w:t>
      </w:r>
    </w:p>
    <w:p w:rsidR="007A714A" w:rsidRPr="00BA3E1B" w:rsidRDefault="007A714A" w:rsidP="007A714A">
      <w:pPr>
        <w:pStyle w:val="cdti"/>
        <w:numPr>
          <w:ilvl w:val="0"/>
          <w:numId w:val="7"/>
        </w:numPr>
        <w:rPr>
          <w:rFonts w:ascii="Calibri" w:eastAsia="Calibri" w:hAnsi="Calibri" w:cs="Calibri"/>
          <w:bCs/>
          <w:sz w:val="22"/>
          <w:szCs w:val="22"/>
        </w:rPr>
      </w:pPr>
      <w:r w:rsidRPr="00BA3E1B">
        <w:rPr>
          <w:rFonts w:ascii="Calibri" w:eastAsia="Calibri" w:hAnsi="Calibri" w:cs="Calibri"/>
          <w:bCs/>
          <w:sz w:val="22"/>
          <w:szCs w:val="22"/>
        </w:rPr>
        <w:t xml:space="preserve">Demostradores tecnológicos o prototipos en un entorno real (TRL-7), de soluciones ligadas al concepto de </w:t>
      </w:r>
      <w:r w:rsidR="00BA3E1B" w:rsidRPr="00BA3E1B">
        <w:rPr>
          <w:rFonts w:ascii="Calibri" w:eastAsia="Calibri" w:hAnsi="Calibri" w:cs="Calibri"/>
          <w:b/>
          <w:bCs/>
          <w:sz w:val="22"/>
          <w:szCs w:val="22"/>
        </w:rPr>
        <w:t xml:space="preserve">Automatización de la Inspección y de los Ensayos Avanzados </w:t>
      </w:r>
      <w:r w:rsidRPr="00BA3E1B">
        <w:rPr>
          <w:rFonts w:ascii="Calibri" w:eastAsia="Calibri" w:hAnsi="Calibri" w:cs="Calibri"/>
          <w:bCs/>
          <w:sz w:val="22"/>
          <w:szCs w:val="22"/>
        </w:rPr>
        <w:t xml:space="preserve">que puedan suponer </w:t>
      </w:r>
      <w:r w:rsidRPr="00BA3E1B">
        <w:rPr>
          <w:rFonts w:ascii="Calibri" w:eastAsia="Calibri" w:hAnsi="Calibri" w:cs="Calibri"/>
          <w:b/>
          <w:bCs/>
          <w:sz w:val="22"/>
          <w:szCs w:val="22"/>
        </w:rPr>
        <w:t>saltos disruptivos en la competitividad empresarial</w:t>
      </w:r>
      <w:r w:rsidRPr="00BA3E1B">
        <w:rPr>
          <w:rFonts w:ascii="Calibri" w:eastAsia="Calibri" w:hAnsi="Calibri" w:cs="Calibri"/>
          <w:bCs/>
          <w:sz w:val="22"/>
          <w:szCs w:val="22"/>
        </w:rPr>
        <w:t>.</w:t>
      </w:r>
    </w:p>
    <w:p w:rsidR="007A714A" w:rsidRPr="007A714A" w:rsidRDefault="007A714A" w:rsidP="007A714A">
      <w:pPr>
        <w:pStyle w:val="cdti"/>
        <w:numPr>
          <w:ilvl w:val="0"/>
          <w:numId w:val="7"/>
        </w:numPr>
        <w:rPr>
          <w:rFonts w:ascii="Calibri" w:eastAsia="Calibri" w:hAnsi="Calibri" w:cs="Calibri"/>
          <w:b/>
          <w:bCs/>
          <w:sz w:val="22"/>
          <w:szCs w:val="22"/>
        </w:rPr>
      </w:pPr>
      <w:r w:rsidRPr="007A714A">
        <w:rPr>
          <w:rFonts w:ascii="Calibri" w:eastAsia="Calibri" w:hAnsi="Calibri" w:cs="Calibri"/>
          <w:b/>
          <w:bCs/>
          <w:sz w:val="22"/>
          <w:szCs w:val="22"/>
        </w:rPr>
        <w:t>Demostradores tecnológicos o prototipos en un entorno real (TRL-7</w:t>
      </w:r>
      <w:r w:rsidRPr="00BA3E1B">
        <w:rPr>
          <w:rFonts w:ascii="Calibri" w:eastAsia="Calibri" w:hAnsi="Calibri" w:cs="Calibri"/>
          <w:bCs/>
          <w:sz w:val="22"/>
          <w:szCs w:val="22"/>
        </w:rPr>
        <w:t>), de soluciones ligadas al concepto de</w:t>
      </w:r>
      <w:r w:rsidRPr="007A714A">
        <w:rPr>
          <w:rFonts w:ascii="Calibri" w:eastAsia="Calibri" w:hAnsi="Calibri" w:cs="Calibri"/>
          <w:b/>
          <w:bCs/>
          <w:sz w:val="22"/>
          <w:szCs w:val="22"/>
        </w:rPr>
        <w:t xml:space="preserve"> </w:t>
      </w:r>
      <w:proofErr w:type="spellStart"/>
      <w:r w:rsidR="00BA3E1B" w:rsidRPr="007A714A">
        <w:rPr>
          <w:rFonts w:ascii="Calibri" w:eastAsia="Calibri" w:hAnsi="Calibri" w:cs="Calibri"/>
          <w:b/>
          <w:bCs/>
          <w:sz w:val="22"/>
          <w:szCs w:val="22"/>
        </w:rPr>
        <w:t>Sensorización</w:t>
      </w:r>
      <w:proofErr w:type="spellEnd"/>
      <w:r w:rsidR="00BA3E1B" w:rsidRPr="007A714A">
        <w:rPr>
          <w:rFonts w:ascii="Calibri" w:eastAsia="Calibri" w:hAnsi="Calibri" w:cs="Calibri"/>
          <w:b/>
          <w:bCs/>
          <w:sz w:val="22"/>
          <w:szCs w:val="22"/>
        </w:rPr>
        <w:t xml:space="preserve">, Generación </w:t>
      </w:r>
      <w:r w:rsidR="00BA3E1B">
        <w:rPr>
          <w:rFonts w:ascii="Calibri" w:eastAsia="Calibri" w:hAnsi="Calibri" w:cs="Calibri"/>
          <w:b/>
          <w:bCs/>
          <w:sz w:val="22"/>
          <w:szCs w:val="22"/>
        </w:rPr>
        <w:t>d</w:t>
      </w:r>
      <w:r w:rsidR="00BA3E1B" w:rsidRPr="007A714A">
        <w:rPr>
          <w:rFonts w:ascii="Calibri" w:eastAsia="Calibri" w:hAnsi="Calibri" w:cs="Calibri"/>
          <w:b/>
          <w:bCs/>
          <w:sz w:val="22"/>
          <w:szCs w:val="22"/>
        </w:rPr>
        <w:t>e Big Data</w:t>
      </w:r>
      <w:r w:rsidR="00BA3E1B">
        <w:rPr>
          <w:rFonts w:ascii="Calibri" w:eastAsia="Calibri" w:hAnsi="Calibri" w:cs="Calibri"/>
          <w:b/>
          <w:bCs/>
          <w:sz w:val="22"/>
          <w:szCs w:val="22"/>
        </w:rPr>
        <w:t xml:space="preserve"> y</w:t>
      </w:r>
      <w:r w:rsidR="00BA3E1B" w:rsidRPr="007A714A">
        <w:rPr>
          <w:rFonts w:ascii="Calibri" w:eastAsia="Calibri" w:hAnsi="Calibri" w:cs="Calibri"/>
          <w:b/>
          <w:bCs/>
          <w:sz w:val="22"/>
          <w:szCs w:val="22"/>
        </w:rPr>
        <w:t xml:space="preserve"> </w:t>
      </w:r>
      <w:proofErr w:type="spellStart"/>
      <w:r w:rsidR="00BA3E1B" w:rsidRPr="007A714A">
        <w:rPr>
          <w:rFonts w:ascii="Calibri" w:eastAsia="Calibri" w:hAnsi="Calibri" w:cs="Calibri"/>
          <w:b/>
          <w:bCs/>
          <w:sz w:val="22"/>
          <w:szCs w:val="22"/>
        </w:rPr>
        <w:t>Analytics</w:t>
      </w:r>
      <w:proofErr w:type="spellEnd"/>
      <w:r w:rsidR="00BA3E1B" w:rsidRPr="007A714A">
        <w:rPr>
          <w:rFonts w:ascii="Calibri" w:eastAsia="Calibri" w:hAnsi="Calibri" w:cs="Calibri"/>
          <w:b/>
          <w:bCs/>
          <w:sz w:val="22"/>
          <w:szCs w:val="22"/>
        </w:rPr>
        <w:t xml:space="preserve">, </w:t>
      </w:r>
      <w:r w:rsidRPr="007A714A">
        <w:rPr>
          <w:rFonts w:ascii="Calibri" w:eastAsia="Calibri" w:hAnsi="Calibri" w:cs="Calibri"/>
          <w:b/>
          <w:bCs/>
          <w:sz w:val="22"/>
          <w:szCs w:val="22"/>
        </w:rPr>
        <w:t>Inteligencia Artificial</w:t>
      </w:r>
      <w:r w:rsidR="00BA3E1B" w:rsidRPr="007A714A">
        <w:rPr>
          <w:rFonts w:ascii="Calibri" w:eastAsia="Calibri" w:hAnsi="Calibri" w:cs="Calibri"/>
          <w:b/>
          <w:bCs/>
          <w:sz w:val="22"/>
          <w:szCs w:val="22"/>
        </w:rPr>
        <w:t xml:space="preserve">, </w:t>
      </w:r>
      <w:r w:rsidRPr="007A714A">
        <w:rPr>
          <w:rFonts w:ascii="Calibri" w:eastAsia="Calibri" w:hAnsi="Calibri" w:cs="Calibri"/>
          <w:b/>
          <w:bCs/>
          <w:sz w:val="22"/>
          <w:szCs w:val="22"/>
        </w:rPr>
        <w:t xml:space="preserve">IOT </w:t>
      </w:r>
      <w:r w:rsidR="00BA3E1B" w:rsidRPr="007A714A">
        <w:rPr>
          <w:rFonts w:ascii="Calibri" w:eastAsia="Calibri" w:hAnsi="Calibri" w:cs="Calibri"/>
          <w:b/>
          <w:bCs/>
          <w:sz w:val="22"/>
          <w:szCs w:val="22"/>
        </w:rPr>
        <w:t>(</w:t>
      </w:r>
      <w:r w:rsidRPr="007A714A">
        <w:rPr>
          <w:rFonts w:ascii="Calibri" w:eastAsia="Calibri" w:hAnsi="Calibri" w:cs="Calibri"/>
          <w:b/>
          <w:bCs/>
          <w:i/>
          <w:sz w:val="22"/>
          <w:szCs w:val="22"/>
        </w:rPr>
        <w:t xml:space="preserve">Industrial Internet </w:t>
      </w:r>
      <w:r w:rsidR="00BA3E1B" w:rsidRPr="007A714A">
        <w:rPr>
          <w:rFonts w:ascii="Calibri" w:eastAsia="Calibri" w:hAnsi="Calibri" w:cs="Calibri"/>
          <w:b/>
          <w:bCs/>
          <w:i/>
          <w:sz w:val="22"/>
          <w:szCs w:val="22"/>
        </w:rPr>
        <w:t xml:space="preserve">Of </w:t>
      </w:r>
      <w:proofErr w:type="spellStart"/>
      <w:r w:rsidRPr="007A714A">
        <w:rPr>
          <w:rFonts w:ascii="Calibri" w:eastAsia="Calibri" w:hAnsi="Calibri" w:cs="Calibri"/>
          <w:b/>
          <w:bCs/>
          <w:i/>
          <w:sz w:val="22"/>
          <w:szCs w:val="22"/>
        </w:rPr>
        <w:t>Things</w:t>
      </w:r>
      <w:proofErr w:type="spellEnd"/>
      <w:r w:rsidR="00BA3E1B" w:rsidRPr="007A714A">
        <w:rPr>
          <w:rFonts w:ascii="Calibri" w:eastAsia="Calibri" w:hAnsi="Calibri" w:cs="Calibri"/>
          <w:b/>
          <w:bCs/>
          <w:sz w:val="22"/>
          <w:szCs w:val="22"/>
        </w:rPr>
        <w:t xml:space="preserve">), Realidad Virtual </w:t>
      </w:r>
      <w:r w:rsidR="00BA3E1B">
        <w:rPr>
          <w:rFonts w:ascii="Calibri" w:eastAsia="Calibri" w:hAnsi="Calibri" w:cs="Calibri"/>
          <w:b/>
          <w:bCs/>
          <w:sz w:val="22"/>
          <w:szCs w:val="22"/>
        </w:rPr>
        <w:t xml:space="preserve">y </w:t>
      </w:r>
      <w:r w:rsidR="00BA3E1B" w:rsidRPr="007A714A">
        <w:rPr>
          <w:rFonts w:ascii="Calibri" w:eastAsia="Calibri" w:hAnsi="Calibri" w:cs="Calibri"/>
          <w:b/>
          <w:bCs/>
          <w:sz w:val="22"/>
          <w:szCs w:val="22"/>
        </w:rPr>
        <w:t>Aumentada Industrial</w:t>
      </w:r>
      <w:r w:rsidRPr="007A714A">
        <w:rPr>
          <w:rFonts w:ascii="Calibri" w:eastAsia="Calibri" w:hAnsi="Calibri" w:cs="Calibri"/>
          <w:b/>
          <w:bCs/>
          <w:sz w:val="22"/>
          <w:szCs w:val="22"/>
        </w:rPr>
        <w:t xml:space="preserve">, </w:t>
      </w:r>
      <w:r w:rsidRPr="00BA3E1B">
        <w:rPr>
          <w:rFonts w:ascii="Calibri" w:eastAsia="Calibri" w:hAnsi="Calibri" w:cs="Calibri"/>
          <w:bCs/>
          <w:sz w:val="22"/>
          <w:szCs w:val="22"/>
        </w:rPr>
        <w:t>que puedan suponer</w:t>
      </w:r>
      <w:r w:rsidRPr="007A714A">
        <w:rPr>
          <w:rFonts w:ascii="Calibri" w:eastAsia="Calibri" w:hAnsi="Calibri" w:cs="Calibri"/>
          <w:b/>
          <w:bCs/>
          <w:sz w:val="22"/>
          <w:szCs w:val="22"/>
        </w:rPr>
        <w:t xml:space="preserve"> saltos disruptivos en la competitividad empresarial.</w:t>
      </w:r>
    </w:p>
    <w:p w:rsidR="007A714A" w:rsidRPr="00BA3E1B" w:rsidRDefault="007A714A" w:rsidP="007A714A">
      <w:pPr>
        <w:pStyle w:val="cdti"/>
        <w:numPr>
          <w:ilvl w:val="0"/>
          <w:numId w:val="7"/>
        </w:numPr>
        <w:rPr>
          <w:rFonts w:ascii="Calibri" w:eastAsia="Calibri" w:hAnsi="Calibri" w:cs="Calibri"/>
          <w:bCs/>
          <w:sz w:val="22"/>
          <w:szCs w:val="22"/>
        </w:rPr>
      </w:pPr>
      <w:r w:rsidRPr="00BA3E1B">
        <w:rPr>
          <w:rFonts w:ascii="Calibri" w:eastAsia="Calibri" w:hAnsi="Calibri" w:cs="Calibri"/>
          <w:bCs/>
          <w:i/>
          <w:sz w:val="22"/>
          <w:szCs w:val="22"/>
        </w:rPr>
        <w:t>Desarrollo del primer demostrador tecnológico o prototipo en un entorno real (hasta TRL 7), de</w:t>
      </w:r>
      <w:r w:rsidRPr="00BA3E1B">
        <w:rPr>
          <w:rFonts w:ascii="Calibri" w:eastAsia="Calibri" w:hAnsi="Calibri" w:cs="Calibri"/>
          <w:bCs/>
          <w:sz w:val="22"/>
          <w:szCs w:val="22"/>
        </w:rPr>
        <w:t xml:space="preserve"> un</w:t>
      </w:r>
      <w:r w:rsidRPr="007A714A">
        <w:rPr>
          <w:rFonts w:ascii="Calibri" w:eastAsia="Calibri" w:hAnsi="Calibri" w:cs="Calibri"/>
          <w:b/>
          <w:bCs/>
          <w:sz w:val="22"/>
          <w:szCs w:val="22"/>
        </w:rPr>
        <w:t xml:space="preserve"> </w:t>
      </w:r>
      <w:r w:rsidR="00BA3E1B" w:rsidRPr="007A714A">
        <w:rPr>
          <w:rFonts w:ascii="Calibri" w:eastAsia="Calibri" w:hAnsi="Calibri" w:cs="Calibri"/>
          <w:b/>
          <w:bCs/>
          <w:sz w:val="22"/>
          <w:szCs w:val="22"/>
        </w:rPr>
        <w:t>Sistema Aéreo Remotamente Tripulado (</w:t>
      </w:r>
      <w:r w:rsidRPr="007A714A">
        <w:rPr>
          <w:rFonts w:ascii="Calibri" w:eastAsia="Calibri" w:hAnsi="Calibri" w:cs="Calibri"/>
          <w:b/>
          <w:bCs/>
          <w:sz w:val="22"/>
          <w:szCs w:val="22"/>
        </w:rPr>
        <w:t>RPAS</w:t>
      </w:r>
      <w:r w:rsidR="00BA3E1B" w:rsidRPr="007A714A">
        <w:rPr>
          <w:rFonts w:ascii="Calibri" w:eastAsia="Calibri" w:hAnsi="Calibri" w:cs="Calibri"/>
          <w:b/>
          <w:bCs/>
          <w:sz w:val="22"/>
          <w:szCs w:val="22"/>
        </w:rPr>
        <w:t>/</w:t>
      </w:r>
      <w:r w:rsidRPr="007A714A">
        <w:rPr>
          <w:rFonts w:ascii="Calibri" w:eastAsia="Calibri" w:hAnsi="Calibri" w:cs="Calibri"/>
          <w:b/>
          <w:bCs/>
          <w:sz w:val="22"/>
          <w:szCs w:val="22"/>
        </w:rPr>
        <w:t>UAS</w:t>
      </w:r>
      <w:r w:rsidR="00BA3E1B" w:rsidRPr="007A714A">
        <w:rPr>
          <w:rFonts w:ascii="Calibri" w:eastAsia="Calibri" w:hAnsi="Calibri" w:cs="Calibri"/>
          <w:b/>
          <w:bCs/>
          <w:sz w:val="22"/>
          <w:szCs w:val="22"/>
        </w:rPr>
        <w:t>/Dron</w:t>
      </w:r>
      <w:r w:rsidRPr="007A714A">
        <w:rPr>
          <w:rFonts w:ascii="Calibri" w:eastAsia="Calibri" w:hAnsi="Calibri" w:cs="Calibri"/>
          <w:b/>
          <w:bCs/>
          <w:sz w:val="22"/>
          <w:szCs w:val="22"/>
        </w:rPr>
        <w:t xml:space="preserve">) </w:t>
      </w:r>
      <w:r w:rsidRPr="00BA3E1B">
        <w:rPr>
          <w:rFonts w:ascii="Calibri" w:eastAsia="Calibri" w:hAnsi="Calibri" w:cs="Calibri"/>
          <w:bCs/>
          <w:sz w:val="22"/>
          <w:szCs w:val="22"/>
        </w:rPr>
        <w:t>con los sistemas necesarios para poder realizar vuelos a largas distancias (varias decenas de kilómetros desde el lugar de despegue) y por períodos prolongados de tiempo, más de 7 horas (una noche completa) cumpliendo con el actual marco normativo español y europeo, incluyendo un sistema de detección y evitación de otras aeronaves tripuladas que puedan operar en el mismo espacio aéreo y que sea validado de forma exhaustiva y robusta en un entorno real de operación.</w:t>
      </w:r>
    </w:p>
    <w:p w:rsidR="007A714A" w:rsidRPr="00BA3E1B" w:rsidRDefault="007A714A" w:rsidP="007A714A">
      <w:pPr>
        <w:pStyle w:val="cdti"/>
        <w:numPr>
          <w:ilvl w:val="0"/>
          <w:numId w:val="7"/>
        </w:numPr>
        <w:rPr>
          <w:rFonts w:ascii="Calibri" w:eastAsia="Calibri" w:hAnsi="Calibri" w:cs="Calibri"/>
          <w:bCs/>
          <w:sz w:val="22"/>
          <w:szCs w:val="22"/>
        </w:rPr>
      </w:pPr>
      <w:r w:rsidRPr="00BA3E1B">
        <w:rPr>
          <w:rFonts w:ascii="Calibri" w:eastAsia="Calibri" w:hAnsi="Calibri" w:cs="Calibri"/>
          <w:bCs/>
          <w:sz w:val="22"/>
          <w:szCs w:val="22"/>
        </w:rPr>
        <w:lastRenderedPageBreak/>
        <w:t>Desarrollo de un demostrador tecnológico o prototipo en un entorno real (TRL-7), de una solución de</w:t>
      </w:r>
      <w:r w:rsidRPr="007A714A">
        <w:rPr>
          <w:rFonts w:ascii="Calibri" w:eastAsia="Calibri" w:hAnsi="Calibri" w:cs="Calibri"/>
          <w:b/>
          <w:bCs/>
          <w:sz w:val="22"/>
          <w:szCs w:val="22"/>
        </w:rPr>
        <w:t xml:space="preserve"> HAPS (</w:t>
      </w:r>
      <w:r w:rsidRPr="007A714A">
        <w:rPr>
          <w:rFonts w:ascii="Calibri" w:eastAsia="Calibri" w:hAnsi="Calibri" w:cs="Calibri"/>
          <w:b/>
          <w:bCs/>
          <w:i/>
          <w:sz w:val="22"/>
          <w:szCs w:val="22"/>
        </w:rPr>
        <w:t xml:space="preserve">High </w:t>
      </w:r>
      <w:proofErr w:type="spellStart"/>
      <w:r w:rsidRPr="007A714A">
        <w:rPr>
          <w:rFonts w:ascii="Calibri" w:eastAsia="Calibri" w:hAnsi="Calibri" w:cs="Calibri"/>
          <w:b/>
          <w:bCs/>
          <w:i/>
          <w:sz w:val="22"/>
          <w:szCs w:val="22"/>
        </w:rPr>
        <w:t>Altitude</w:t>
      </w:r>
      <w:proofErr w:type="spellEnd"/>
      <w:r w:rsidRPr="007A714A">
        <w:rPr>
          <w:rFonts w:ascii="Calibri" w:eastAsia="Calibri" w:hAnsi="Calibri" w:cs="Calibri"/>
          <w:b/>
          <w:bCs/>
          <w:i/>
          <w:sz w:val="22"/>
          <w:szCs w:val="22"/>
        </w:rPr>
        <w:t xml:space="preserve"> </w:t>
      </w:r>
      <w:proofErr w:type="spellStart"/>
      <w:r w:rsidRPr="007A714A">
        <w:rPr>
          <w:rFonts w:ascii="Calibri" w:eastAsia="Calibri" w:hAnsi="Calibri" w:cs="Calibri"/>
          <w:b/>
          <w:bCs/>
          <w:i/>
          <w:sz w:val="22"/>
          <w:szCs w:val="22"/>
        </w:rPr>
        <w:t>Pseudosatellite</w:t>
      </w:r>
      <w:proofErr w:type="spellEnd"/>
      <w:r w:rsidRPr="007A714A">
        <w:rPr>
          <w:rFonts w:ascii="Calibri" w:eastAsia="Calibri" w:hAnsi="Calibri" w:cs="Calibri"/>
          <w:b/>
          <w:bCs/>
          <w:sz w:val="22"/>
          <w:szCs w:val="22"/>
        </w:rPr>
        <w:t>) que constituya un demostrador de la capacidad de operar de modo continuo durante más de tres meses monitorizando una región de al menos 90.000 km</w:t>
      </w:r>
      <w:r w:rsidRPr="007A714A">
        <w:rPr>
          <w:rFonts w:ascii="Calibri" w:eastAsia="Calibri" w:hAnsi="Calibri" w:cs="Calibri"/>
          <w:b/>
          <w:bCs/>
          <w:sz w:val="22"/>
          <w:szCs w:val="22"/>
          <w:vertAlign w:val="superscript"/>
        </w:rPr>
        <w:t>2</w:t>
      </w:r>
      <w:r w:rsidRPr="007A714A">
        <w:rPr>
          <w:rFonts w:ascii="Calibri" w:eastAsia="Calibri" w:hAnsi="Calibri" w:cs="Calibri"/>
          <w:b/>
          <w:bCs/>
          <w:sz w:val="22"/>
          <w:szCs w:val="22"/>
        </w:rPr>
        <w:t xml:space="preserve">, </w:t>
      </w:r>
      <w:r w:rsidRPr="00BA3E1B">
        <w:rPr>
          <w:rFonts w:ascii="Calibri" w:eastAsia="Calibri" w:hAnsi="Calibri" w:cs="Calibri"/>
          <w:bCs/>
          <w:sz w:val="22"/>
          <w:szCs w:val="22"/>
        </w:rPr>
        <w:t xml:space="preserve">aportando datos e información procesada multipropósito (monitorización de infraestructuras de telecomunicaciones, infraestructuras eléctricas, gestión hídrica, apoyo en emergencias, gestión de espacios naturales, gestión agrícola), así como capaz de aportar un incremento en la cobertura móvil, redundando la red de telecomunicaciones, permitiendo servir como un </w:t>
      </w:r>
      <w:proofErr w:type="spellStart"/>
      <w:r w:rsidRPr="00BA3E1B">
        <w:rPr>
          <w:rFonts w:ascii="Calibri" w:eastAsia="Calibri" w:hAnsi="Calibri" w:cs="Calibri"/>
          <w:bCs/>
          <w:sz w:val="22"/>
          <w:szCs w:val="22"/>
        </w:rPr>
        <w:t>relay</w:t>
      </w:r>
      <w:proofErr w:type="spellEnd"/>
      <w:r w:rsidRPr="00BA3E1B">
        <w:rPr>
          <w:rFonts w:ascii="Calibri" w:eastAsia="Calibri" w:hAnsi="Calibri" w:cs="Calibri"/>
          <w:bCs/>
          <w:sz w:val="22"/>
          <w:szCs w:val="22"/>
        </w:rPr>
        <w:t xml:space="preserve"> de comunicaciones regional de rápido despliegue.</w:t>
      </w:r>
    </w:p>
    <w:p w:rsidR="007A714A" w:rsidRPr="00BA3E1B" w:rsidRDefault="007A714A" w:rsidP="007A714A">
      <w:pPr>
        <w:pStyle w:val="cdti"/>
        <w:numPr>
          <w:ilvl w:val="0"/>
          <w:numId w:val="7"/>
        </w:numPr>
        <w:rPr>
          <w:rFonts w:ascii="Calibri" w:eastAsia="Calibri" w:hAnsi="Calibri" w:cs="Calibri"/>
          <w:bCs/>
          <w:sz w:val="22"/>
          <w:szCs w:val="22"/>
        </w:rPr>
      </w:pPr>
      <w:r w:rsidRPr="00BA3E1B">
        <w:rPr>
          <w:rFonts w:ascii="Calibri" w:eastAsia="Calibri" w:hAnsi="Calibri" w:cs="Calibri"/>
          <w:bCs/>
          <w:sz w:val="22"/>
          <w:szCs w:val="22"/>
        </w:rPr>
        <w:t>Desarrollo del primer demostrador tecnológico o prototipo en un entorno real (TRL-7),</w:t>
      </w:r>
      <w:r w:rsidRPr="007A714A">
        <w:rPr>
          <w:rFonts w:ascii="Calibri" w:eastAsia="Calibri" w:hAnsi="Calibri" w:cs="Calibri"/>
          <w:b/>
          <w:bCs/>
          <w:sz w:val="22"/>
          <w:szCs w:val="22"/>
        </w:rPr>
        <w:t xml:space="preserve"> </w:t>
      </w:r>
      <w:r w:rsidRPr="00BA3E1B">
        <w:rPr>
          <w:rFonts w:ascii="Calibri" w:eastAsia="Calibri" w:hAnsi="Calibri" w:cs="Calibri"/>
          <w:bCs/>
          <w:sz w:val="22"/>
          <w:szCs w:val="22"/>
        </w:rPr>
        <w:t xml:space="preserve">de un </w:t>
      </w:r>
      <w:r w:rsidR="00BA3E1B" w:rsidRPr="00BA3E1B">
        <w:rPr>
          <w:rFonts w:ascii="Calibri" w:eastAsia="Calibri" w:hAnsi="Calibri" w:cs="Calibri"/>
          <w:b/>
          <w:bCs/>
          <w:sz w:val="22"/>
          <w:szCs w:val="22"/>
        </w:rPr>
        <w:t>S</w:t>
      </w:r>
      <w:r w:rsidRPr="00BA3E1B">
        <w:rPr>
          <w:rFonts w:ascii="Calibri" w:eastAsia="Calibri" w:hAnsi="Calibri" w:cs="Calibri"/>
          <w:b/>
          <w:bCs/>
          <w:sz w:val="22"/>
          <w:szCs w:val="22"/>
        </w:rPr>
        <w:t xml:space="preserve">istema de </w:t>
      </w:r>
      <w:r w:rsidR="00BA3E1B" w:rsidRPr="00BA3E1B">
        <w:rPr>
          <w:rFonts w:ascii="Calibri" w:eastAsia="Calibri" w:hAnsi="Calibri" w:cs="Calibri"/>
          <w:b/>
          <w:bCs/>
          <w:sz w:val="22"/>
          <w:szCs w:val="22"/>
        </w:rPr>
        <w:t>Inspección Autónomo para Grandes Infraestructuras</w:t>
      </w:r>
      <w:r w:rsidRPr="007A714A">
        <w:rPr>
          <w:rFonts w:ascii="Calibri" w:eastAsia="Calibri" w:hAnsi="Calibri" w:cs="Calibri"/>
          <w:b/>
          <w:bCs/>
          <w:sz w:val="22"/>
          <w:szCs w:val="22"/>
        </w:rPr>
        <w:t xml:space="preserve">, </w:t>
      </w:r>
      <w:r w:rsidRPr="00BA3E1B">
        <w:rPr>
          <w:rFonts w:ascii="Calibri" w:eastAsia="Calibri" w:hAnsi="Calibri" w:cs="Calibri"/>
          <w:bCs/>
          <w:sz w:val="22"/>
          <w:szCs w:val="22"/>
        </w:rPr>
        <w:t xml:space="preserve">tales como sistemas de generación y transmisión energéticas. El sistema de inspección autónomo debe ser capaz de cubrir el abanico completo de necesidades de inspección, tanto inspecciones rutinarias de grandes superficies para detección de defectos, como inspecciones de detalle y precisión. Además  el sistema de inspección autónomo debe cubrir no solo la obtención de datos, sino también el procesamiento de estos que facilite la redacción de informes técnicos y la realización de análisis sobre el estado de las infraestructuras.  </w:t>
      </w:r>
    </w:p>
    <w:p w:rsidR="007A714A" w:rsidRDefault="007A714A" w:rsidP="007A714A">
      <w:pPr>
        <w:pStyle w:val="cdti"/>
        <w:rPr>
          <w:rFonts w:ascii="Calibri" w:eastAsia="Calibri" w:hAnsi="Calibri" w:cs="Calibri"/>
          <w:b/>
          <w:bCs/>
          <w:sz w:val="22"/>
          <w:szCs w:val="22"/>
          <w:u w:val="single"/>
        </w:rPr>
      </w:pPr>
    </w:p>
    <w:p w:rsidR="00BA4E80" w:rsidRDefault="008F3421" w:rsidP="007A714A">
      <w:pPr>
        <w:jc w:val="both"/>
        <w:rPr>
          <w:b/>
          <w:bCs/>
          <w:color w:val="4F81BD" w:themeColor="accent1"/>
        </w:rPr>
      </w:pPr>
      <w:r>
        <w:rPr>
          <w:b/>
          <w:bCs/>
          <w:color w:val="4F81BD" w:themeColor="accent1"/>
        </w:rPr>
        <w:t xml:space="preserve">Información: </w:t>
      </w:r>
      <w:hyperlink r:id="rId13" w:history="1">
        <w:r w:rsidRPr="00A43D3D">
          <w:rPr>
            <w:rStyle w:val="Hipervnculo"/>
            <w:b/>
            <w:bCs/>
          </w:rPr>
          <w:t>estrategiayprogramas@agenciaidea.es</w:t>
        </w:r>
      </w:hyperlink>
    </w:p>
    <w:p w:rsidR="008F3421" w:rsidRPr="00A40044" w:rsidRDefault="008F3421" w:rsidP="008F3421">
      <w:pPr>
        <w:rPr>
          <w:b/>
        </w:rPr>
      </w:pPr>
      <w:r w:rsidRPr="00A40044">
        <w:rPr>
          <w:b/>
        </w:rPr>
        <w:t>PREGUNTAS FRECUENTES</w:t>
      </w:r>
    </w:p>
    <w:p w:rsidR="008F3421" w:rsidRPr="00A40044" w:rsidRDefault="008F3421" w:rsidP="008F3421">
      <w:pPr>
        <w:rPr>
          <w:b/>
        </w:rPr>
      </w:pPr>
      <w:r w:rsidRPr="00A40044">
        <w:rPr>
          <w:b/>
        </w:rPr>
        <w:t xml:space="preserve">1 </w:t>
      </w:r>
      <w:proofErr w:type="gramStart"/>
      <w:r w:rsidRPr="00A40044">
        <w:rPr>
          <w:b/>
        </w:rPr>
        <w:t>¿</w:t>
      </w:r>
      <w:proofErr w:type="gramEnd"/>
      <w:r w:rsidRPr="00A40044">
        <w:rPr>
          <w:b/>
        </w:rPr>
        <w:t xml:space="preserve">Cuál es la finalidad de publicar las necesidades de soluciones innovadoras de la </w:t>
      </w:r>
      <w:r>
        <w:rPr>
          <w:b/>
        </w:rPr>
        <w:t xml:space="preserve">Agencia IDEA </w:t>
      </w:r>
    </w:p>
    <w:p w:rsidR="008F3421" w:rsidRDefault="008F3421" w:rsidP="008F3421">
      <w:pPr>
        <w:spacing w:after="0"/>
        <w:jc w:val="both"/>
      </w:pPr>
      <w:r>
        <w:t>La Convocatoria a Expresiones de Interés para Soluciones Innovadoras Orientadas a Demanda Pública Española lanzada por del Centro para el Desarrollo Tecnológico e Industrial (CDTI) representa una ocasión de alineamiento excelente  con la medida de la Estrategia Industrial de Andalucía 2020</w:t>
      </w:r>
      <w:r w:rsidRPr="00034804">
        <w:t xml:space="preserve"> </w:t>
      </w:r>
      <w:r>
        <w:t xml:space="preserve">“Iniciativa industrial de compra pública innovadora vinculada al dominio tecnológico de los vehículos aéreos no tripulados (Código 6.2.1)- </w:t>
      </w:r>
    </w:p>
    <w:p w:rsidR="008F3421" w:rsidRDefault="008F3421" w:rsidP="008F3421">
      <w:pPr>
        <w:jc w:val="both"/>
      </w:pPr>
      <w:r>
        <w:t>A ese respecto, aunque las propuestas solo puedan ser presentadas por empresas, centros tecnológicos, asociaciones, asociaciones de investigación, universidades y centros públicos de investigación, los organismos públicos, concretamente de Andalucía y de otras comunidades autónomas, son elementos imprescindibles. Así entre los requisitos que se demandan está que la propuesta responda a una “necesidad real pública”, exigiéndose que se identifique en la expresión de interés a un organismo público, que reconozca la necesidad a satisfacer, e interesado en la validación de la solución resultante, con indicación de persona de contacto.</w:t>
      </w:r>
    </w:p>
    <w:p w:rsidR="008F3421" w:rsidRDefault="008F3421" w:rsidP="008F3421">
      <w:pPr>
        <w:jc w:val="both"/>
      </w:pPr>
      <w:r>
        <w:t>Para facilitar el cumplimiento, por parte de las empresas y entidades solicitantes, de los requisitos exigidos en la convocatoria del CDTI, esta Consejería realiza la recopilación y publicación en la web, de un conjunto de necesidades de soluciones innovadoras identificadas para dar respuesta a diferentes ámbitos competenciales de este organismo. Mediante este procedimiento abierto se pretende actuar de forma respetuosa con los principios de igualdad de oportunidades, transparencia y libre concurrencia.</w:t>
      </w:r>
    </w:p>
    <w:p w:rsidR="008F3421" w:rsidRPr="000444D7" w:rsidRDefault="008F3421" w:rsidP="008F3421">
      <w:pPr>
        <w:jc w:val="both"/>
        <w:rPr>
          <w:b/>
        </w:rPr>
      </w:pPr>
      <w:r w:rsidRPr="000444D7">
        <w:rPr>
          <w:b/>
        </w:rPr>
        <w:lastRenderedPageBreak/>
        <w:t>2 Si el CDTI escoge una expresión de interés que responde a una de las necesidades del listado ¿se obliga la AGENCIA IDEA a implicarse en su desarrollo?</w:t>
      </w:r>
    </w:p>
    <w:p w:rsidR="008F3421" w:rsidRDefault="008F3421" w:rsidP="008F3421">
      <w:pPr>
        <w:jc w:val="both"/>
      </w:pPr>
      <w:r>
        <w:t>No. La AGENCIA IDEA no tendrá conocimiento específico del contenido de las propuestas hasta que le contacte directamente el CDTI, y será en el marco de una posterior negociación con este organismo en la que se fijen los compromisos concretos de ambas partes para futuro el desarrollo de la propuesta, que se harán explícitos a través de la firma de un convenio.</w:t>
      </w:r>
    </w:p>
    <w:p w:rsidR="008F3421" w:rsidRDefault="008F3421" w:rsidP="008F3421">
      <w:pPr>
        <w:jc w:val="both"/>
        <w:rPr>
          <w:b/>
        </w:rPr>
      </w:pPr>
      <w:r w:rsidRPr="008F3421">
        <w:rPr>
          <w:b/>
        </w:rPr>
        <w:t>4 ¿Cómo puedo obtener información sobre los pasos a dar y el procedimiento para presentar propuestas?</w:t>
      </w:r>
    </w:p>
    <w:p w:rsidR="008F3421" w:rsidRDefault="008F3421" w:rsidP="008F3421">
      <w:pPr>
        <w:jc w:val="both"/>
      </w:pPr>
      <w:r>
        <w:t>La AGENCIA IDEA  no tiene intervención alguna en el proceso de la Convocatoria del CDTI, más allá de la publicación de sus necesidades para facilitar el cumplimiento de unos de los requisitos de ésta por parte de las entidades solicitantes. Toda la información sobre los procedimientos para presentar propuestas a la Convocatoria del CDTI se halla en la página web de este organismo, en donde se establece, igualmente, un canal para la presentación y resolución de dudas al respecto. Igualmente CDTI pone a disposición un documento adicional de preguntas frecuentes sobre esta convocatoria. Para más</w:t>
      </w:r>
    </w:p>
    <w:p w:rsidR="008F3421" w:rsidRDefault="008F3421" w:rsidP="008F3421">
      <w:r>
        <w:t>Información consultar:</w:t>
      </w:r>
    </w:p>
    <w:p w:rsidR="008F3421" w:rsidRDefault="00BE6183" w:rsidP="008F3421">
      <w:hyperlink r:id="rId14" w:history="1">
        <w:r w:rsidR="008F3421" w:rsidRPr="00A43D3D">
          <w:rPr>
            <w:rStyle w:val="Hipervnculo"/>
          </w:rPr>
          <w:t>https://www.cdti.es/index.asp?MP=100&amp;MS=882&amp;MN=2&amp;TR=A&amp;IDR=1&amp;iddocumento=7238</w:t>
        </w:r>
      </w:hyperlink>
    </w:p>
    <w:p w:rsidR="008F3421" w:rsidRPr="008F3421" w:rsidRDefault="008F3421" w:rsidP="008F3421">
      <w:pPr>
        <w:rPr>
          <w:b/>
        </w:rPr>
      </w:pPr>
      <w:r w:rsidRPr="008F3421">
        <w:rPr>
          <w:b/>
        </w:rPr>
        <w:t xml:space="preserve">5 ¿Se pueden establecer contacto con la AGENCIA IDEA para aclaraciones, demos o presentar soluciones? </w:t>
      </w:r>
    </w:p>
    <w:p w:rsidR="008F3421" w:rsidRDefault="008F3421" w:rsidP="008F3421">
      <w:r>
        <w:t>Mediante este procedimiento de publicación de las necesidades de la Consejería, se pretende actuar de forma respetuosa con los principios de igualdad de oportunidades, transparencia y libre concurrencia ante la Convocatoria de CDTI.</w:t>
      </w:r>
    </w:p>
    <w:p w:rsidR="00F3685F" w:rsidRPr="007A714A" w:rsidRDefault="008F3421" w:rsidP="008F3421">
      <w:r>
        <w:t>Para garantizar estos principios se ha establecido que sólo facilitará se facilitará información a través del correo</w:t>
      </w:r>
    </w:p>
    <w:p w:rsidR="00164953" w:rsidRDefault="00BE6183" w:rsidP="00164953">
      <w:pPr>
        <w:jc w:val="both"/>
      </w:pPr>
      <w:hyperlink r:id="rId15" w:history="1">
        <w:r w:rsidR="008F3421" w:rsidRPr="00A43D3D">
          <w:rPr>
            <w:rStyle w:val="Hipervnculo"/>
          </w:rPr>
          <w:t>estrategiayprogramas@agenciaidea.es</w:t>
        </w:r>
      </w:hyperlink>
    </w:p>
    <w:p w:rsidR="008F3421" w:rsidRPr="007A714A" w:rsidRDefault="008F3421" w:rsidP="00164953">
      <w:pPr>
        <w:jc w:val="both"/>
      </w:pPr>
      <w:bookmarkStart w:id="0" w:name="_GoBack"/>
      <w:bookmarkEnd w:id="0"/>
    </w:p>
    <w:sectPr w:rsidR="008F3421" w:rsidRPr="007A714A" w:rsidSect="00A15DC6">
      <w:headerReference w:type="default" r:id="rId16"/>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183" w:rsidRDefault="00BE6183" w:rsidP="00A15DC6">
      <w:pPr>
        <w:spacing w:after="0" w:line="240" w:lineRule="auto"/>
      </w:pPr>
      <w:r>
        <w:separator/>
      </w:r>
    </w:p>
  </w:endnote>
  <w:endnote w:type="continuationSeparator" w:id="0">
    <w:p w:rsidR="00BE6183" w:rsidRDefault="00BE6183" w:rsidP="00A15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183" w:rsidRDefault="00BE6183" w:rsidP="00A15DC6">
      <w:pPr>
        <w:spacing w:after="0" w:line="240" w:lineRule="auto"/>
      </w:pPr>
      <w:r>
        <w:separator/>
      </w:r>
    </w:p>
  </w:footnote>
  <w:footnote w:type="continuationSeparator" w:id="0">
    <w:p w:rsidR="00BE6183" w:rsidRDefault="00BE6183" w:rsidP="00A15D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DC6" w:rsidRDefault="00A15DC6">
    <w:pPr>
      <w:pStyle w:val="Encabezado"/>
    </w:pPr>
    <w:r>
      <w:rPr>
        <w:noProof/>
        <w:lang w:eastAsia="es-ES"/>
      </w:rPr>
      <w:drawing>
        <wp:inline distT="0" distB="0" distL="0" distR="0" wp14:anchorId="049540BA" wp14:editId="6CE0CE06">
          <wp:extent cx="3869740" cy="664476"/>
          <wp:effectExtent l="0" t="0" r="0" b="254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122 Logotipo IDEA CEC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67351" cy="6640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B4888"/>
    <w:multiLevelType w:val="hybridMultilevel"/>
    <w:tmpl w:val="152463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84A0925"/>
    <w:multiLevelType w:val="multilevel"/>
    <w:tmpl w:val="2452B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707E53"/>
    <w:multiLevelType w:val="hybridMultilevel"/>
    <w:tmpl w:val="0456A8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E21200"/>
    <w:multiLevelType w:val="multilevel"/>
    <w:tmpl w:val="71AC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694F7F"/>
    <w:multiLevelType w:val="multilevel"/>
    <w:tmpl w:val="E388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5E6E17"/>
    <w:multiLevelType w:val="hybridMultilevel"/>
    <w:tmpl w:val="869A4DFA"/>
    <w:lvl w:ilvl="0" w:tplc="E1868E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BD87B6D"/>
    <w:multiLevelType w:val="multilevel"/>
    <w:tmpl w:val="C492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057A43"/>
    <w:multiLevelType w:val="hybridMultilevel"/>
    <w:tmpl w:val="4BEC0D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E2543C2"/>
    <w:multiLevelType w:val="hybridMultilevel"/>
    <w:tmpl w:val="7D48CC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BF00727"/>
    <w:multiLevelType w:val="hybridMultilevel"/>
    <w:tmpl w:val="1D209EF2"/>
    <w:lvl w:ilvl="0" w:tplc="E1868E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5"/>
  </w:num>
  <w:num w:numId="6">
    <w:abstractNumId w:val="9"/>
  </w:num>
  <w:num w:numId="7">
    <w:abstractNumId w:val="0"/>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559"/>
    <w:rsid w:val="000B7B03"/>
    <w:rsid w:val="00164953"/>
    <w:rsid w:val="00275680"/>
    <w:rsid w:val="0030233B"/>
    <w:rsid w:val="00366C8A"/>
    <w:rsid w:val="003D4B37"/>
    <w:rsid w:val="004602C7"/>
    <w:rsid w:val="005F4A83"/>
    <w:rsid w:val="006F601B"/>
    <w:rsid w:val="00701135"/>
    <w:rsid w:val="007A714A"/>
    <w:rsid w:val="008944F0"/>
    <w:rsid w:val="008F3421"/>
    <w:rsid w:val="00945A19"/>
    <w:rsid w:val="00A15DC6"/>
    <w:rsid w:val="00A53BF2"/>
    <w:rsid w:val="00B8552A"/>
    <w:rsid w:val="00BA3E1B"/>
    <w:rsid w:val="00BA4E80"/>
    <w:rsid w:val="00BE6183"/>
    <w:rsid w:val="00C26559"/>
    <w:rsid w:val="00CF3308"/>
    <w:rsid w:val="00E0135B"/>
    <w:rsid w:val="00F368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4F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26559"/>
    <w:rPr>
      <w:color w:val="0000FF" w:themeColor="hyperlink"/>
      <w:u w:val="single"/>
    </w:rPr>
  </w:style>
  <w:style w:type="character" w:styleId="Hipervnculovisitado">
    <w:name w:val="FollowedHyperlink"/>
    <w:basedOn w:val="Fuentedeprrafopredeter"/>
    <w:uiPriority w:val="99"/>
    <w:semiHidden/>
    <w:unhideWhenUsed/>
    <w:rsid w:val="00C26559"/>
    <w:rPr>
      <w:color w:val="800080" w:themeColor="followedHyperlink"/>
      <w:u w:val="single"/>
    </w:rPr>
  </w:style>
  <w:style w:type="paragraph" w:styleId="Textodeglobo">
    <w:name w:val="Balloon Text"/>
    <w:basedOn w:val="Normal"/>
    <w:link w:val="TextodegloboCar"/>
    <w:uiPriority w:val="99"/>
    <w:semiHidden/>
    <w:unhideWhenUsed/>
    <w:rsid w:val="00C265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6559"/>
    <w:rPr>
      <w:rFonts w:ascii="Tahoma" w:hAnsi="Tahoma" w:cs="Tahoma"/>
      <w:sz w:val="16"/>
      <w:szCs w:val="16"/>
    </w:rPr>
  </w:style>
  <w:style w:type="paragraph" w:customStyle="1" w:styleId="cdti">
    <w:name w:val="cdti"/>
    <w:basedOn w:val="Normal"/>
    <w:rsid w:val="007A714A"/>
    <w:pPr>
      <w:widowControl w:val="0"/>
      <w:suppressAutoHyphens/>
      <w:autoSpaceDN w:val="0"/>
      <w:spacing w:after="0" w:line="240" w:lineRule="auto"/>
      <w:jc w:val="both"/>
      <w:textAlignment w:val="baseline"/>
    </w:pPr>
    <w:rPr>
      <w:rFonts w:ascii="Arial Narrow" w:eastAsia="Times New Roman" w:hAnsi="Arial Narrow" w:cs="Arial Narrow"/>
      <w:kern w:val="3"/>
      <w:sz w:val="20"/>
      <w:szCs w:val="20"/>
      <w:lang w:eastAsia="zh-CN"/>
    </w:rPr>
  </w:style>
  <w:style w:type="paragraph" w:styleId="Prrafodelista">
    <w:name w:val="List Paragraph"/>
    <w:basedOn w:val="Normal"/>
    <w:uiPriority w:val="34"/>
    <w:qFormat/>
    <w:rsid w:val="00BA4E80"/>
    <w:pPr>
      <w:ind w:left="720"/>
      <w:contextualSpacing/>
    </w:pPr>
  </w:style>
  <w:style w:type="paragraph" w:styleId="Encabezado">
    <w:name w:val="header"/>
    <w:basedOn w:val="Normal"/>
    <w:link w:val="EncabezadoCar"/>
    <w:uiPriority w:val="99"/>
    <w:unhideWhenUsed/>
    <w:rsid w:val="00A15D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15DC6"/>
  </w:style>
  <w:style w:type="paragraph" w:styleId="Piedepgina">
    <w:name w:val="footer"/>
    <w:basedOn w:val="Normal"/>
    <w:link w:val="PiedepginaCar"/>
    <w:uiPriority w:val="99"/>
    <w:unhideWhenUsed/>
    <w:rsid w:val="00A15D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15D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4F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26559"/>
    <w:rPr>
      <w:color w:val="0000FF" w:themeColor="hyperlink"/>
      <w:u w:val="single"/>
    </w:rPr>
  </w:style>
  <w:style w:type="character" w:styleId="Hipervnculovisitado">
    <w:name w:val="FollowedHyperlink"/>
    <w:basedOn w:val="Fuentedeprrafopredeter"/>
    <w:uiPriority w:val="99"/>
    <w:semiHidden/>
    <w:unhideWhenUsed/>
    <w:rsid w:val="00C26559"/>
    <w:rPr>
      <w:color w:val="800080" w:themeColor="followedHyperlink"/>
      <w:u w:val="single"/>
    </w:rPr>
  </w:style>
  <w:style w:type="paragraph" w:styleId="Textodeglobo">
    <w:name w:val="Balloon Text"/>
    <w:basedOn w:val="Normal"/>
    <w:link w:val="TextodegloboCar"/>
    <w:uiPriority w:val="99"/>
    <w:semiHidden/>
    <w:unhideWhenUsed/>
    <w:rsid w:val="00C265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6559"/>
    <w:rPr>
      <w:rFonts w:ascii="Tahoma" w:hAnsi="Tahoma" w:cs="Tahoma"/>
      <w:sz w:val="16"/>
      <w:szCs w:val="16"/>
    </w:rPr>
  </w:style>
  <w:style w:type="paragraph" w:customStyle="1" w:styleId="cdti">
    <w:name w:val="cdti"/>
    <w:basedOn w:val="Normal"/>
    <w:rsid w:val="007A714A"/>
    <w:pPr>
      <w:widowControl w:val="0"/>
      <w:suppressAutoHyphens/>
      <w:autoSpaceDN w:val="0"/>
      <w:spacing w:after="0" w:line="240" w:lineRule="auto"/>
      <w:jc w:val="both"/>
      <w:textAlignment w:val="baseline"/>
    </w:pPr>
    <w:rPr>
      <w:rFonts w:ascii="Arial Narrow" w:eastAsia="Times New Roman" w:hAnsi="Arial Narrow" w:cs="Arial Narrow"/>
      <w:kern w:val="3"/>
      <w:sz w:val="20"/>
      <w:szCs w:val="20"/>
      <w:lang w:eastAsia="zh-CN"/>
    </w:rPr>
  </w:style>
  <w:style w:type="paragraph" w:styleId="Prrafodelista">
    <w:name w:val="List Paragraph"/>
    <w:basedOn w:val="Normal"/>
    <w:uiPriority w:val="34"/>
    <w:qFormat/>
    <w:rsid w:val="00BA4E80"/>
    <w:pPr>
      <w:ind w:left="720"/>
      <w:contextualSpacing/>
    </w:pPr>
  </w:style>
  <w:style w:type="paragraph" w:styleId="Encabezado">
    <w:name w:val="header"/>
    <w:basedOn w:val="Normal"/>
    <w:link w:val="EncabezadoCar"/>
    <w:uiPriority w:val="99"/>
    <w:unhideWhenUsed/>
    <w:rsid w:val="00A15D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15DC6"/>
  </w:style>
  <w:style w:type="paragraph" w:styleId="Piedepgina">
    <w:name w:val="footer"/>
    <w:basedOn w:val="Normal"/>
    <w:link w:val="PiedepginaCar"/>
    <w:uiPriority w:val="99"/>
    <w:unhideWhenUsed/>
    <w:rsid w:val="00A15D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15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2098">
      <w:bodyDiv w:val="1"/>
      <w:marLeft w:val="3"/>
      <w:marRight w:val="3"/>
      <w:marTop w:val="0"/>
      <w:marBottom w:val="0"/>
      <w:divBdr>
        <w:top w:val="none" w:sz="0" w:space="0" w:color="auto"/>
        <w:left w:val="none" w:sz="0" w:space="0" w:color="auto"/>
        <w:bottom w:val="none" w:sz="0" w:space="0" w:color="auto"/>
        <w:right w:val="none" w:sz="0" w:space="0" w:color="auto"/>
      </w:divBdr>
      <w:divsChild>
        <w:div w:id="234240704">
          <w:marLeft w:val="0"/>
          <w:marRight w:val="0"/>
          <w:marTop w:val="0"/>
          <w:marBottom w:val="0"/>
          <w:divBdr>
            <w:top w:val="none" w:sz="0" w:space="0" w:color="auto"/>
            <w:left w:val="none" w:sz="0" w:space="0" w:color="auto"/>
            <w:bottom w:val="none" w:sz="0" w:space="0" w:color="auto"/>
            <w:right w:val="none" w:sz="0" w:space="0" w:color="auto"/>
          </w:divBdr>
          <w:divsChild>
            <w:div w:id="1583905754">
              <w:marLeft w:val="3375"/>
              <w:marRight w:val="0"/>
              <w:marTop w:val="0"/>
              <w:marBottom w:val="0"/>
              <w:divBdr>
                <w:top w:val="none" w:sz="0" w:space="0" w:color="auto"/>
                <w:left w:val="none" w:sz="0" w:space="0" w:color="auto"/>
                <w:bottom w:val="none" w:sz="0" w:space="0" w:color="auto"/>
                <w:right w:val="none" w:sz="0" w:space="0" w:color="auto"/>
              </w:divBdr>
              <w:divsChild>
                <w:div w:id="1079016426">
                  <w:marLeft w:val="0"/>
                  <w:marRight w:val="0"/>
                  <w:marTop w:val="0"/>
                  <w:marBottom w:val="0"/>
                  <w:divBdr>
                    <w:top w:val="none" w:sz="0" w:space="0" w:color="auto"/>
                    <w:left w:val="none" w:sz="0" w:space="0" w:color="auto"/>
                    <w:bottom w:val="none" w:sz="0" w:space="0" w:color="auto"/>
                    <w:right w:val="none" w:sz="0" w:space="0" w:color="auto"/>
                  </w:divBdr>
                  <w:divsChild>
                    <w:div w:id="1273630479">
                      <w:marLeft w:val="0"/>
                      <w:marRight w:val="0"/>
                      <w:marTop w:val="1125"/>
                      <w:marBottom w:val="0"/>
                      <w:divBdr>
                        <w:top w:val="none" w:sz="0" w:space="0" w:color="auto"/>
                        <w:left w:val="none" w:sz="0" w:space="0" w:color="auto"/>
                        <w:bottom w:val="none" w:sz="0" w:space="0" w:color="auto"/>
                        <w:right w:val="none" w:sz="0" w:space="0" w:color="auto"/>
                      </w:divBdr>
                    </w:div>
                  </w:divsChild>
                </w:div>
              </w:divsChild>
            </w:div>
          </w:divsChild>
        </w:div>
      </w:divsChild>
    </w:div>
    <w:div w:id="215557342">
      <w:bodyDiv w:val="1"/>
      <w:marLeft w:val="0"/>
      <w:marRight w:val="0"/>
      <w:marTop w:val="0"/>
      <w:marBottom w:val="0"/>
      <w:divBdr>
        <w:top w:val="none" w:sz="0" w:space="0" w:color="auto"/>
        <w:left w:val="none" w:sz="0" w:space="0" w:color="auto"/>
        <w:bottom w:val="none" w:sz="0" w:space="0" w:color="auto"/>
        <w:right w:val="none" w:sz="0" w:space="0" w:color="auto"/>
      </w:divBdr>
      <w:divsChild>
        <w:div w:id="1314871763">
          <w:marLeft w:val="0"/>
          <w:marRight w:val="0"/>
          <w:marTop w:val="0"/>
          <w:marBottom w:val="0"/>
          <w:divBdr>
            <w:top w:val="none" w:sz="0" w:space="0" w:color="auto"/>
            <w:left w:val="none" w:sz="0" w:space="0" w:color="auto"/>
            <w:bottom w:val="none" w:sz="0" w:space="0" w:color="auto"/>
            <w:right w:val="none" w:sz="0" w:space="0" w:color="auto"/>
          </w:divBdr>
          <w:divsChild>
            <w:div w:id="256986406">
              <w:marLeft w:val="0"/>
              <w:marRight w:val="0"/>
              <w:marTop w:val="0"/>
              <w:marBottom w:val="0"/>
              <w:divBdr>
                <w:top w:val="none" w:sz="0" w:space="0" w:color="auto"/>
                <w:left w:val="none" w:sz="0" w:space="0" w:color="auto"/>
                <w:bottom w:val="none" w:sz="0" w:space="0" w:color="auto"/>
                <w:right w:val="none" w:sz="0" w:space="0" w:color="auto"/>
              </w:divBdr>
              <w:divsChild>
                <w:div w:id="707216276">
                  <w:marLeft w:val="0"/>
                  <w:marRight w:val="0"/>
                  <w:marTop w:val="0"/>
                  <w:marBottom w:val="0"/>
                  <w:divBdr>
                    <w:top w:val="none" w:sz="0" w:space="0" w:color="auto"/>
                    <w:left w:val="none" w:sz="0" w:space="0" w:color="auto"/>
                    <w:bottom w:val="none" w:sz="0" w:space="0" w:color="auto"/>
                    <w:right w:val="none" w:sz="0" w:space="0" w:color="auto"/>
                  </w:divBdr>
                  <w:divsChild>
                    <w:div w:id="18198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96639">
      <w:bodyDiv w:val="1"/>
      <w:marLeft w:val="0"/>
      <w:marRight w:val="0"/>
      <w:marTop w:val="0"/>
      <w:marBottom w:val="0"/>
      <w:divBdr>
        <w:top w:val="none" w:sz="0" w:space="0" w:color="auto"/>
        <w:left w:val="none" w:sz="0" w:space="0" w:color="auto"/>
        <w:bottom w:val="none" w:sz="0" w:space="0" w:color="auto"/>
        <w:right w:val="none" w:sz="0" w:space="0" w:color="auto"/>
      </w:divBdr>
      <w:divsChild>
        <w:div w:id="1606496907">
          <w:marLeft w:val="0"/>
          <w:marRight w:val="0"/>
          <w:marTop w:val="0"/>
          <w:marBottom w:val="0"/>
          <w:divBdr>
            <w:top w:val="none" w:sz="0" w:space="0" w:color="auto"/>
            <w:left w:val="none" w:sz="0" w:space="0" w:color="auto"/>
            <w:bottom w:val="none" w:sz="0" w:space="0" w:color="auto"/>
            <w:right w:val="none" w:sz="0" w:space="0" w:color="auto"/>
          </w:divBdr>
          <w:divsChild>
            <w:div w:id="1038892262">
              <w:marLeft w:val="0"/>
              <w:marRight w:val="0"/>
              <w:marTop w:val="0"/>
              <w:marBottom w:val="0"/>
              <w:divBdr>
                <w:top w:val="none" w:sz="0" w:space="0" w:color="auto"/>
                <w:left w:val="none" w:sz="0" w:space="0" w:color="auto"/>
                <w:bottom w:val="none" w:sz="0" w:space="0" w:color="auto"/>
                <w:right w:val="none" w:sz="0" w:space="0" w:color="auto"/>
              </w:divBdr>
              <w:divsChild>
                <w:div w:id="2010131224">
                  <w:marLeft w:val="0"/>
                  <w:marRight w:val="0"/>
                  <w:marTop w:val="0"/>
                  <w:marBottom w:val="0"/>
                  <w:divBdr>
                    <w:top w:val="none" w:sz="0" w:space="0" w:color="auto"/>
                    <w:left w:val="none" w:sz="0" w:space="0" w:color="auto"/>
                    <w:bottom w:val="none" w:sz="0" w:space="0" w:color="auto"/>
                    <w:right w:val="none" w:sz="0" w:space="0" w:color="auto"/>
                  </w:divBdr>
                  <w:divsChild>
                    <w:div w:id="13668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313918">
      <w:bodyDiv w:val="1"/>
      <w:marLeft w:val="0"/>
      <w:marRight w:val="0"/>
      <w:marTop w:val="0"/>
      <w:marBottom w:val="0"/>
      <w:divBdr>
        <w:top w:val="none" w:sz="0" w:space="0" w:color="auto"/>
        <w:left w:val="none" w:sz="0" w:space="0" w:color="auto"/>
        <w:bottom w:val="none" w:sz="0" w:space="0" w:color="auto"/>
        <w:right w:val="none" w:sz="0" w:space="0" w:color="auto"/>
      </w:divBdr>
      <w:divsChild>
        <w:div w:id="216934180">
          <w:marLeft w:val="0"/>
          <w:marRight w:val="0"/>
          <w:marTop w:val="0"/>
          <w:marBottom w:val="0"/>
          <w:divBdr>
            <w:top w:val="none" w:sz="0" w:space="0" w:color="auto"/>
            <w:left w:val="none" w:sz="0" w:space="0" w:color="auto"/>
            <w:bottom w:val="none" w:sz="0" w:space="0" w:color="auto"/>
            <w:right w:val="none" w:sz="0" w:space="0" w:color="auto"/>
          </w:divBdr>
          <w:divsChild>
            <w:div w:id="1855724263">
              <w:marLeft w:val="0"/>
              <w:marRight w:val="0"/>
              <w:marTop w:val="0"/>
              <w:marBottom w:val="0"/>
              <w:divBdr>
                <w:top w:val="none" w:sz="0" w:space="0" w:color="auto"/>
                <w:left w:val="none" w:sz="0" w:space="0" w:color="auto"/>
                <w:bottom w:val="none" w:sz="0" w:space="0" w:color="auto"/>
                <w:right w:val="none" w:sz="0" w:space="0" w:color="auto"/>
              </w:divBdr>
              <w:divsChild>
                <w:div w:id="1347906070">
                  <w:marLeft w:val="0"/>
                  <w:marRight w:val="0"/>
                  <w:marTop w:val="0"/>
                  <w:marBottom w:val="0"/>
                  <w:divBdr>
                    <w:top w:val="none" w:sz="0" w:space="0" w:color="auto"/>
                    <w:left w:val="none" w:sz="0" w:space="0" w:color="auto"/>
                    <w:bottom w:val="none" w:sz="0" w:space="0" w:color="auto"/>
                    <w:right w:val="none" w:sz="0" w:space="0" w:color="auto"/>
                  </w:divBdr>
                  <w:divsChild>
                    <w:div w:id="1486509127">
                      <w:marLeft w:val="0"/>
                      <w:marRight w:val="0"/>
                      <w:marTop w:val="0"/>
                      <w:marBottom w:val="0"/>
                      <w:divBdr>
                        <w:top w:val="none" w:sz="0" w:space="0" w:color="auto"/>
                        <w:left w:val="none" w:sz="0" w:space="0" w:color="auto"/>
                        <w:bottom w:val="none" w:sz="0" w:space="0" w:color="auto"/>
                        <w:right w:val="none" w:sz="0" w:space="0" w:color="auto"/>
                      </w:divBdr>
                      <w:divsChild>
                        <w:div w:id="427041914">
                          <w:marLeft w:val="0"/>
                          <w:marRight w:val="0"/>
                          <w:marTop w:val="0"/>
                          <w:marBottom w:val="0"/>
                          <w:divBdr>
                            <w:top w:val="none" w:sz="0" w:space="0" w:color="auto"/>
                            <w:left w:val="none" w:sz="0" w:space="0" w:color="auto"/>
                            <w:bottom w:val="none" w:sz="0" w:space="0" w:color="auto"/>
                            <w:right w:val="none" w:sz="0" w:space="0" w:color="auto"/>
                          </w:divBdr>
                        </w:div>
                        <w:div w:id="188475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557059">
      <w:bodyDiv w:val="1"/>
      <w:marLeft w:val="0"/>
      <w:marRight w:val="0"/>
      <w:marTop w:val="0"/>
      <w:marBottom w:val="0"/>
      <w:divBdr>
        <w:top w:val="none" w:sz="0" w:space="0" w:color="auto"/>
        <w:left w:val="none" w:sz="0" w:space="0" w:color="auto"/>
        <w:bottom w:val="none" w:sz="0" w:space="0" w:color="auto"/>
        <w:right w:val="none" w:sz="0" w:space="0" w:color="auto"/>
      </w:divBdr>
      <w:divsChild>
        <w:div w:id="35158820">
          <w:marLeft w:val="0"/>
          <w:marRight w:val="0"/>
          <w:marTop w:val="0"/>
          <w:marBottom w:val="0"/>
          <w:divBdr>
            <w:top w:val="none" w:sz="0" w:space="0" w:color="auto"/>
            <w:left w:val="none" w:sz="0" w:space="0" w:color="auto"/>
            <w:bottom w:val="none" w:sz="0" w:space="0" w:color="auto"/>
            <w:right w:val="none" w:sz="0" w:space="0" w:color="auto"/>
          </w:divBdr>
          <w:divsChild>
            <w:div w:id="211229798">
              <w:marLeft w:val="0"/>
              <w:marRight w:val="0"/>
              <w:marTop w:val="0"/>
              <w:marBottom w:val="0"/>
              <w:divBdr>
                <w:top w:val="none" w:sz="0" w:space="0" w:color="auto"/>
                <w:left w:val="none" w:sz="0" w:space="0" w:color="auto"/>
                <w:bottom w:val="none" w:sz="0" w:space="0" w:color="auto"/>
                <w:right w:val="none" w:sz="0" w:space="0" w:color="auto"/>
              </w:divBdr>
              <w:divsChild>
                <w:div w:id="1483547184">
                  <w:marLeft w:val="0"/>
                  <w:marRight w:val="0"/>
                  <w:marTop w:val="0"/>
                  <w:marBottom w:val="0"/>
                  <w:divBdr>
                    <w:top w:val="none" w:sz="0" w:space="0" w:color="auto"/>
                    <w:left w:val="none" w:sz="0" w:space="0" w:color="auto"/>
                    <w:bottom w:val="none" w:sz="0" w:space="0" w:color="auto"/>
                    <w:right w:val="none" w:sz="0" w:space="0" w:color="auto"/>
                  </w:divBdr>
                  <w:divsChild>
                    <w:div w:id="144510142">
                      <w:marLeft w:val="0"/>
                      <w:marRight w:val="0"/>
                      <w:marTop w:val="0"/>
                      <w:marBottom w:val="0"/>
                      <w:divBdr>
                        <w:top w:val="none" w:sz="0" w:space="0" w:color="auto"/>
                        <w:left w:val="none" w:sz="0" w:space="0" w:color="auto"/>
                        <w:bottom w:val="none" w:sz="0" w:space="0" w:color="auto"/>
                        <w:right w:val="none" w:sz="0" w:space="0" w:color="auto"/>
                      </w:divBdr>
                      <w:divsChild>
                        <w:div w:id="95370915">
                          <w:marLeft w:val="0"/>
                          <w:marRight w:val="0"/>
                          <w:marTop w:val="0"/>
                          <w:marBottom w:val="0"/>
                          <w:divBdr>
                            <w:top w:val="none" w:sz="0" w:space="0" w:color="auto"/>
                            <w:left w:val="none" w:sz="0" w:space="0" w:color="auto"/>
                            <w:bottom w:val="none" w:sz="0" w:space="0" w:color="auto"/>
                            <w:right w:val="none" w:sz="0" w:space="0" w:color="auto"/>
                          </w:divBdr>
                          <w:divsChild>
                            <w:div w:id="2138524453">
                              <w:marLeft w:val="0"/>
                              <w:marRight w:val="0"/>
                              <w:marTop w:val="0"/>
                              <w:marBottom w:val="0"/>
                              <w:divBdr>
                                <w:top w:val="none" w:sz="0" w:space="0" w:color="auto"/>
                                <w:left w:val="none" w:sz="0" w:space="0" w:color="auto"/>
                                <w:bottom w:val="none" w:sz="0" w:space="0" w:color="auto"/>
                                <w:right w:val="none" w:sz="0" w:space="0" w:color="auto"/>
                              </w:divBdr>
                              <w:divsChild>
                                <w:div w:id="2129542876">
                                  <w:marLeft w:val="0"/>
                                  <w:marRight w:val="0"/>
                                  <w:marTop w:val="0"/>
                                  <w:marBottom w:val="0"/>
                                  <w:divBdr>
                                    <w:top w:val="none" w:sz="0" w:space="0" w:color="auto"/>
                                    <w:left w:val="none" w:sz="0" w:space="0" w:color="auto"/>
                                    <w:bottom w:val="none" w:sz="0" w:space="0" w:color="auto"/>
                                    <w:right w:val="none" w:sz="0" w:space="0" w:color="auto"/>
                                  </w:divBdr>
                                </w:div>
                                <w:div w:id="383018932">
                                  <w:marLeft w:val="0"/>
                                  <w:marRight w:val="0"/>
                                  <w:marTop w:val="0"/>
                                  <w:marBottom w:val="0"/>
                                  <w:divBdr>
                                    <w:top w:val="none" w:sz="0" w:space="0" w:color="auto"/>
                                    <w:left w:val="none" w:sz="0" w:space="0" w:color="auto"/>
                                    <w:bottom w:val="none" w:sz="0" w:space="0" w:color="auto"/>
                                    <w:right w:val="none" w:sz="0" w:space="0" w:color="auto"/>
                                  </w:divBdr>
                                </w:div>
                              </w:divsChild>
                            </w:div>
                            <w:div w:id="163132155">
                              <w:marLeft w:val="0"/>
                              <w:marRight w:val="0"/>
                              <w:marTop w:val="0"/>
                              <w:marBottom w:val="0"/>
                              <w:divBdr>
                                <w:top w:val="none" w:sz="0" w:space="0" w:color="auto"/>
                                <w:left w:val="none" w:sz="0" w:space="0" w:color="auto"/>
                                <w:bottom w:val="none" w:sz="0" w:space="0" w:color="auto"/>
                                <w:right w:val="none" w:sz="0" w:space="0" w:color="auto"/>
                              </w:divBdr>
                              <w:divsChild>
                                <w:div w:id="1537695635">
                                  <w:marLeft w:val="0"/>
                                  <w:marRight w:val="0"/>
                                  <w:marTop w:val="0"/>
                                  <w:marBottom w:val="0"/>
                                  <w:divBdr>
                                    <w:top w:val="none" w:sz="0" w:space="0" w:color="auto"/>
                                    <w:left w:val="none" w:sz="0" w:space="0" w:color="auto"/>
                                    <w:bottom w:val="none" w:sz="0" w:space="0" w:color="auto"/>
                                    <w:right w:val="none" w:sz="0" w:space="0" w:color="auto"/>
                                  </w:divBdr>
                                </w:div>
                                <w:div w:id="652176248">
                                  <w:marLeft w:val="0"/>
                                  <w:marRight w:val="0"/>
                                  <w:marTop w:val="0"/>
                                  <w:marBottom w:val="0"/>
                                  <w:divBdr>
                                    <w:top w:val="none" w:sz="0" w:space="0" w:color="auto"/>
                                    <w:left w:val="none" w:sz="0" w:space="0" w:color="auto"/>
                                    <w:bottom w:val="none" w:sz="0" w:space="0" w:color="auto"/>
                                    <w:right w:val="none" w:sz="0" w:space="0" w:color="auto"/>
                                  </w:divBdr>
                                </w:div>
                              </w:divsChild>
                            </w:div>
                            <w:div w:id="1562862573">
                              <w:marLeft w:val="0"/>
                              <w:marRight w:val="0"/>
                              <w:marTop w:val="0"/>
                              <w:marBottom w:val="0"/>
                              <w:divBdr>
                                <w:top w:val="none" w:sz="0" w:space="0" w:color="auto"/>
                                <w:left w:val="none" w:sz="0" w:space="0" w:color="auto"/>
                                <w:bottom w:val="none" w:sz="0" w:space="0" w:color="auto"/>
                                <w:right w:val="none" w:sz="0" w:space="0" w:color="auto"/>
                              </w:divBdr>
                              <w:divsChild>
                                <w:div w:id="1705908710">
                                  <w:marLeft w:val="0"/>
                                  <w:marRight w:val="0"/>
                                  <w:marTop w:val="0"/>
                                  <w:marBottom w:val="0"/>
                                  <w:divBdr>
                                    <w:top w:val="none" w:sz="0" w:space="0" w:color="auto"/>
                                    <w:left w:val="none" w:sz="0" w:space="0" w:color="auto"/>
                                    <w:bottom w:val="none" w:sz="0" w:space="0" w:color="auto"/>
                                    <w:right w:val="none" w:sz="0" w:space="0" w:color="auto"/>
                                  </w:divBdr>
                                </w:div>
                                <w:div w:id="678510228">
                                  <w:marLeft w:val="0"/>
                                  <w:marRight w:val="0"/>
                                  <w:marTop w:val="0"/>
                                  <w:marBottom w:val="0"/>
                                  <w:divBdr>
                                    <w:top w:val="none" w:sz="0" w:space="0" w:color="auto"/>
                                    <w:left w:val="none" w:sz="0" w:space="0" w:color="auto"/>
                                    <w:bottom w:val="none" w:sz="0" w:space="0" w:color="auto"/>
                                    <w:right w:val="none" w:sz="0" w:space="0" w:color="auto"/>
                                  </w:divBdr>
                                </w:div>
                              </w:divsChild>
                            </w:div>
                            <w:div w:id="719861050">
                              <w:marLeft w:val="0"/>
                              <w:marRight w:val="0"/>
                              <w:marTop w:val="0"/>
                              <w:marBottom w:val="0"/>
                              <w:divBdr>
                                <w:top w:val="none" w:sz="0" w:space="0" w:color="auto"/>
                                <w:left w:val="none" w:sz="0" w:space="0" w:color="auto"/>
                                <w:bottom w:val="none" w:sz="0" w:space="0" w:color="auto"/>
                                <w:right w:val="none" w:sz="0" w:space="0" w:color="auto"/>
                              </w:divBdr>
                              <w:divsChild>
                                <w:div w:id="563755423">
                                  <w:marLeft w:val="0"/>
                                  <w:marRight w:val="0"/>
                                  <w:marTop w:val="0"/>
                                  <w:marBottom w:val="0"/>
                                  <w:divBdr>
                                    <w:top w:val="none" w:sz="0" w:space="0" w:color="auto"/>
                                    <w:left w:val="none" w:sz="0" w:space="0" w:color="auto"/>
                                    <w:bottom w:val="none" w:sz="0" w:space="0" w:color="auto"/>
                                    <w:right w:val="none" w:sz="0" w:space="0" w:color="auto"/>
                                  </w:divBdr>
                                </w:div>
                                <w:div w:id="605044298">
                                  <w:marLeft w:val="0"/>
                                  <w:marRight w:val="0"/>
                                  <w:marTop w:val="0"/>
                                  <w:marBottom w:val="0"/>
                                  <w:divBdr>
                                    <w:top w:val="none" w:sz="0" w:space="0" w:color="auto"/>
                                    <w:left w:val="none" w:sz="0" w:space="0" w:color="auto"/>
                                    <w:bottom w:val="none" w:sz="0" w:space="0" w:color="auto"/>
                                    <w:right w:val="none" w:sz="0" w:space="0" w:color="auto"/>
                                  </w:divBdr>
                                </w:div>
                              </w:divsChild>
                            </w:div>
                            <w:div w:id="946694501">
                              <w:marLeft w:val="0"/>
                              <w:marRight w:val="0"/>
                              <w:marTop w:val="0"/>
                              <w:marBottom w:val="0"/>
                              <w:divBdr>
                                <w:top w:val="none" w:sz="0" w:space="0" w:color="auto"/>
                                <w:left w:val="none" w:sz="0" w:space="0" w:color="auto"/>
                                <w:bottom w:val="none" w:sz="0" w:space="0" w:color="auto"/>
                                <w:right w:val="none" w:sz="0" w:space="0" w:color="auto"/>
                              </w:divBdr>
                              <w:divsChild>
                                <w:div w:id="244070296">
                                  <w:marLeft w:val="0"/>
                                  <w:marRight w:val="0"/>
                                  <w:marTop w:val="0"/>
                                  <w:marBottom w:val="0"/>
                                  <w:divBdr>
                                    <w:top w:val="none" w:sz="0" w:space="0" w:color="auto"/>
                                    <w:left w:val="none" w:sz="0" w:space="0" w:color="auto"/>
                                    <w:bottom w:val="none" w:sz="0" w:space="0" w:color="auto"/>
                                    <w:right w:val="none" w:sz="0" w:space="0" w:color="auto"/>
                                  </w:divBdr>
                                </w:div>
                                <w:div w:id="1547986435">
                                  <w:marLeft w:val="0"/>
                                  <w:marRight w:val="0"/>
                                  <w:marTop w:val="0"/>
                                  <w:marBottom w:val="0"/>
                                  <w:divBdr>
                                    <w:top w:val="none" w:sz="0" w:space="0" w:color="auto"/>
                                    <w:left w:val="none" w:sz="0" w:space="0" w:color="auto"/>
                                    <w:bottom w:val="none" w:sz="0" w:space="0" w:color="auto"/>
                                    <w:right w:val="none" w:sz="0" w:space="0" w:color="auto"/>
                                  </w:divBdr>
                                </w:div>
                              </w:divsChild>
                            </w:div>
                            <w:div w:id="253173669">
                              <w:marLeft w:val="0"/>
                              <w:marRight w:val="0"/>
                              <w:marTop w:val="0"/>
                              <w:marBottom w:val="0"/>
                              <w:divBdr>
                                <w:top w:val="none" w:sz="0" w:space="0" w:color="auto"/>
                                <w:left w:val="none" w:sz="0" w:space="0" w:color="auto"/>
                                <w:bottom w:val="none" w:sz="0" w:space="0" w:color="auto"/>
                                <w:right w:val="none" w:sz="0" w:space="0" w:color="auto"/>
                              </w:divBdr>
                              <w:divsChild>
                                <w:div w:id="2031443828">
                                  <w:marLeft w:val="0"/>
                                  <w:marRight w:val="0"/>
                                  <w:marTop w:val="0"/>
                                  <w:marBottom w:val="0"/>
                                  <w:divBdr>
                                    <w:top w:val="none" w:sz="0" w:space="0" w:color="auto"/>
                                    <w:left w:val="none" w:sz="0" w:space="0" w:color="auto"/>
                                    <w:bottom w:val="none" w:sz="0" w:space="0" w:color="auto"/>
                                    <w:right w:val="none" w:sz="0" w:space="0" w:color="auto"/>
                                  </w:divBdr>
                                </w:div>
                                <w:div w:id="208066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393319">
      <w:bodyDiv w:val="1"/>
      <w:marLeft w:val="0"/>
      <w:marRight w:val="0"/>
      <w:marTop w:val="0"/>
      <w:marBottom w:val="0"/>
      <w:divBdr>
        <w:top w:val="none" w:sz="0" w:space="0" w:color="auto"/>
        <w:left w:val="none" w:sz="0" w:space="0" w:color="auto"/>
        <w:bottom w:val="none" w:sz="0" w:space="0" w:color="auto"/>
        <w:right w:val="none" w:sz="0" w:space="0" w:color="auto"/>
      </w:divBdr>
      <w:divsChild>
        <w:div w:id="329673591">
          <w:marLeft w:val="0"/>
          <w:marRight w:val="0"/>
          <w:marTop w:val="0"/>
          <w:marBottom w:val="0"/>
          <w:divBdr>
            <w:top w:val="none" w:sz="0" w:space="0" w:color="auto"/>
            <w:left w:val="none" w:sz="0" w:space="0" w:color="auto"/>
            <w:bottom w:val="none" w:sz="0" w:space="0" w:color="auto"/>
            <w:right w:val="none" w:sz="0" w:space="0" w:color="auto"/>
          </w:divBdr>
          <w:divsChild>
            <w:div w:id="605387918">
              <w:marLeft w:val="0"/>
              <w:marRight w:val="0"/>
              <w:marTop w:val="0"/>
              <w:marBottom w:val="0"/>
              <w:divBdr>
                <w:top w:val="none" w:sz="0" w:space="0" w:color="auto"/>
                <w:left w:val="none" w:sz="0" w:space="0" w:color="auto"/>
                <w:bottom w:val="none" w:sz="0" w:space="0" w:color="auto"/>
                <w:right w:val="none" w:sz="0" w:space="0" w:color="auto"/>
              </w:divBdr>
              <w:divsChild>
                <w:div w:id="791052128">
                  <w:marLeft w:val="0"/>
                  <w:marRight w:val="0"/>
                  <w:marTop w:val="0"/>
                  <w:marBottom w:val="0"/>
                  <w:divBdr>
                    <w:top w:val="none" w:sz="0" w:space="0" w:color="auto"/>
                    <w:left w:val="none" w:sz="0" w:space="0" w:color="auto"/>
                    <w:bottom w:val="none" w:sz="0" w:space="0" w:color="auto"/>
                    <w:right w:val="none" w:sz="0" w:space="0" w:color="auto"/>
                  </w:divBdr>
                  <w:divsChild>
                    <w:div w:id="18269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business-economy-euro/economic-and-fiscal-policy-coordination/eu-economic-governance-monitoring-prevention-correction/european-semester/framework/europe-2020-strategy_es" TargetMode="External"/><Relationship Id="rId13" Type="http://schemas.openxmlformats.org/officeDocument/2006/relationships/hyperlink" Target="mailto:estrategiayprogramas@agenciaidea.e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dti.es/index.asp?MP=100&amp;MS=882&amp;MN=2&amp;TR=C&amp;IDR=276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dti.es/" TargetMode="External"/><Relationship Id="rId5" Type="http://schemas.openxmlformats.org/officeDocument/2006/relationships/webSettings" Target="webSettings.xml"/><Relationship Id="rId15" Type="http://schemas.openxmlformats.org/officeDocument/2006/relationships/hyperlink" Target="mailto:estrategiayprogramas@agenciaidea.es" TargetMode="External"/><Relationship Id="rId10" Type="http://schemas.openxmlformats.org/officeDocument/2006/relationships/hyperlink" Target="https://www.juntadeandalucia.es/boja/2019/31/9" TargetMode="External"/><Relationship Id="rId4" Type="http://schemas.openxmlformats.org/officeDocument/2006/relationships/settings" Target="settings.xml"/><Relationship Id="rId9" Type="http://schemas.openxmlformats.org/officeDocument/2006/relationships/hyperlink" Target="https://www.juntadeandalucia.es/organismos/sobre-junta/planes/detalle/153948.html" TargetMode="External"/><Relationship Id="rId14" Type="http://schemas.openxmlformats.org/officeDocument/2006/relationships/hyperlink" Target="https://www.cdti.es/index.asp?MP=100&amp;MS=882&amp;MN=2&amp;TR=A&amp;IDR=1&amp;iddocumento=72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2692</Words>
  <Characters>14809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Agencia de Innovación y Desarrollo de Andalucía</Company>
  <LinksUpToDate>false</LinksUpToDate>
  <CharactersWithSpaces>17467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Pérez García, Susana</cp:lastModifiedBy>
  <cp:revision>2</cp:revision>
  <cp:lastPrinted>2019-05-27T08:56:00Z</cp:lastPrinted>
  <dcterms:created xsi:type="dcterms:W3CDTF">2019-05-27T16:50:00Z</dcterms:created>
  <dcterms:modified xsi:type="dcterms:W3CDTF">2019-05-27T16:50:00Z</dcterms:modified>
</cp:coreProperties>
</file>